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79" w:rsidRDefault="00F762EB" w:rsidP="00B25BD4">
      <w:pPr>
        <w:spacing w:after="0" w:line="240" w:lineRule="auto"/>
        <w:jc w:val="center"/>
        <w:rPr>
          <w:b/>
        </w:rPr>
      </w:pPr>
      <w:r>
        <w:rPr>
          <w:b/>
          <w:noProof/>
          <w:lang w:val="nb-NO" w:eastAsia="nb-NO"/>
        </w:rPr>
        <w:drawing>
          <wp:anchor distT="0" distB="0" distL="114300" distR="114300" simplePos="0" relativeHeight="251658240" behindDoc="0" locked="0" layoutInCell="1" allowOverlap="1">
            <wp:simplePos x="3528060" y="914400"/>
            <wp:positionH relativeFrom="margin">
              <wp:align>left</wp:align>
            </wp:positionH>
            <wp:positionV relativeFrom="margin">
              <wp:align>top</wp:align>
            </wp:positionV>
            <wp:extent cx="719455" cy="719455"/>
            <wp:effectExtent l="0" t="0" r="444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_logo_final.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9455" cy="719455"/>
                    </a:xfrm>
                    <a:prstGeom prst="rect">
                      <a:avLst/>
                    </a:prstGeom>
                  </pic:spPr>
                </pic:pic>
              </a:graphicData>
            </a:graphic>
          </wp:anchor>
        </w:drawing>
      </w:r>
    </w:p>
    <w:p w:rsidR="00A70A16" w:rsidRPr="003E16B6" w:rsidRDefault="00A70A16" w:rsidP="00A70A16">
      <w:pPr>
        <w:spacing w:after="0"/>
        <w:rPr>
          <w:b/>
          <w:bCs/>
          <w:sz w:val="24"/>
          <w:szCs w:val="24"/>
        </w:rPr>
      </w:pPr>
      <w:bookmarkStart w:id="0" w:name="_GoBack"/>
      <w:r w:rsidRPr="003E16B6">
        <w:rPr>
          <w:b/>
          <w:bCs/>
          <w:sz w:val="24"/>
          <w:szCs w:val="24"/>
        </w:rPr>
        <w:t xml:space="preserve">Citation: </w:t>
      </w:r>
      <w:r w:rsidRPr="003E16B6">
        <w:rPr>
          <w:b/>
          <w:bCs/>
          <w:i/>
          <w:sz w:val="24"/>
          <w:szCs w:val="24"/>
        </w:rPr>
        <w:t xml:space="preserve">Lancet Diabetes Endocrinol 2013. </w:t>
      </w:r>
      <w:r w:rsidRPr="003E16B6">
        <w:rPr>
          <w:b/>
          <w:bCs/>
          <w:sz w:val="24"/>
          <w:szCs w:val="24"/>
        </w:rPr>
        <w:t>Published Online December 23, 2013. http://dx.doi.org/10.1016/S2213-8587(13)70191-8</w:t>
      </w:r>
      <w:bookmarkEnd w:id="0"/>
    </w:p>
    <w:p w:rsidR="00A70A16" w:rsidRPr="00B36D22" w:rsidRDefault="00A70A16" w:rsidP="00A70A16">
      <w:pPr>
        <w:spacing w:after="0"/>
        <w:rPr>
          <w:b/>
          <w:bCs/>
          <w:sz w:val="24"/>
          <w:szCs w:val="24"/>
        </w:rPr>
      </w:pPr>
    </w:p>
    <w:p w:rsidR="00A70A16" w:rsidRDefault="00A70A16" w:rsidP="00A70A16">
      <w:pPr>
        <w:spacing w:after="0"/>
        <w:jc w:val="center"/>
        <w:rPr>
          <w:b/>
        </w:rPr>
      </w:pPr>
    </w:p>
    <w:p w:rsidR="002D1A79" w:rsidRPr="00B36D22" w:rsidRDefault="004F38FE" w:rsidP="00A70A16">
      <w:pPr>
        <w:spacing w:after="0"/>
        <w:rPr>
          <w:rFonts w:cs="Calibri"/>
          <w:b/>
          <w:color w:val="C00000"/>
          <w:sz w:val="32"/>
          <w:szCs w:val="32"/>
        </w:rPr>
      </w:pPr>
      <w:r w:rsidRPr="00B36D22">
        <w:rPr>
          <w:b/>
          <w:color w:val="C00000"/>
          <w:sz w:val="32"/>
          <w:szCs w:val="32"/>
        </w:rPr>
        <w:t>The Polygenic Nature of H</w:t>
      </w:r>
      <w:r w:rsidR="002D1A79" w:rsidRPr="00B36D22">
        <w:rPr>
          <w:b/>
          <w:color w:val="C00000"/>
          <w:sz w:val="32"/>
          <w:szCs w:val="32"/>
        </w:rPr>
        <w:t>ypertriglycerid</w:t>
      </w:r>
      <w:r w:rsidR="009B5940" w:rsidRPr="00B36D22">
        <w:rPr>
          <w:b/>
          <w:color w:val="C00000"/>
          <w:sz w:val="32"/>
          <w:szCs w:val="32"/>
        </w:rPr>
        <w:t>a</w:t>
      </w:r>
      <w:r w:rsidR="003A6A2C" w:rsidRPr="00B36D22">
        <w:rPr>
          <w:b/>
          <w:color w:val="C00000"/>
          <w:sz w:val="32"/>
          <w:szCs w:val="32"/>
        </w:rPr>
        <w:t>e</w:t>
      </w:r>
      <w:r w:rsidR="002D1A79" w:rsidRPr="00B36D22">
        <w:rPr>
          <w:b/>
          <w:color w:val="C00000"/>
          <w:sz w:val="32"/>
          <w:szCs w:val="32"/>
        </w:rPr>
        <w:t>mi</w:t>
      </w:r>
      <w:r w:rsidR="00730572" w:rsidRPr="00B36D22">
        <w:rPr>
          <w:b/>
          <w:color w:val="C00000"/>
          <w:sz w:val="32"/>
          <w:szCs w:val="32"/>
        </w:rPr>
        <w:t>a</w:t>
      </w:r>
      <w:r w:rsidR="00997914" w:rsidRPr="00B36D22">
        <w:rPr>
          <w:b/>
          <w:color w:val="C00000"/>
          <w:sz w:val="32"/>
          <w:szCs w:val="32"/>
        </w:rPr>
        <w:t>:</w:t>
      </w:r>
      <w:r w:rsidR="006C6D7A" w:rsidRPr="00B36D22">
        <w:rPr>
          <w:b/>
          <w:color w:val="C00000"/>
          <w:sz w:val="32"/>
          <w:szCs w:val="32"/>
        </w:rPr>
        <w:t xml:space="preserve"> </w:t>
      </w:r>
      <w:r w:rsidR="002D1A79" w:rsidRPr="00B36D22">
        <w:rPr>
          <w:b/>
          <w:color w:val="C00000"/>
          <w:sz w:val="32"/>
          <w:szCs w:val="32"/>
        </w:rPr>
        <w:t xml:space="preserve">Implications for </w:t>
      </w:r>
      <w:r w:rsidR="00A77205" w:rsidRPr="00B36D22">
        <w:rPr>
          <w:b/>
          <w:color w:val="C00000"/>
          <w:sz w:val="32"/>
          <w:szCs w:val="32"/>
        </w:rPr>
        <w:t xml:space="preserve">Definition, </w:t>
      </w:r>
      <w:r w:rsidR="002D1A79" w:rsidRPr="00B36D22">
        <w:rPr>
          <w:b/>
          <w:color w:val="C00000"/>
          <w:sz w:val="32"/>
          <w:szCs w:val="32"/>
        </w:rPr>
        <w:t>Diagnosis</w:t>
      </w:r>
      <w:r w:rsidR="000352DE" w:rsidRPr="00B36D22">
        <w:rPr>
          <w:b/>
          <w:color w:val="C00000"/>
          <w:sz w:val="32"/>
          <w:szCs w:val="32"/>
        </w:rPr>
        <w:t xml:space="preserve"> and </w:t>
      </w:r>
      <w:r w:rsidR="002D1A79" w:rsidRPr="00B36D22">
        <w:rPr>
          <w:b/>
          <w:color w:val="C00000"/>
          <w:sz w:val="32"/>
          <w:szCs w:val="32"/>
        </w:rPr>
        <w:t>Management</w:t>
      </w:r>
    </w:p>
    <w:p w:rsidR="003C68D7" w:rsidRPr="003E16B6" w:rsidRDefault="00A70A16" w:rsidP="00A70A16">
      <w:pPr>
        <w:spacing w:after="0"/>
        <w:rPr>
          <w:bCs/>
          <w:i/>
        </w:rPr>
      </w:pPr>
      <w:r w:rsidRPr="003E16B6">
        <w:rPr>
          <w:bCs/>
          <w:i/>
        </w:rPr>
        <w:t>Robert A Hegele, Henry N Ginsberg, M John Chapman, Børge G Nordestgaard, Jan Albert Kuivenhoven, Maurizio Averna, Jan Borén, Eric Bruckert,Alberico L Catapano, Olivier S Descamps, G Kees Hovingh, Steve E Humphries, Petri T Kovanen, Luis Masana, Päivi Pajukanta, Klaus G Parhofer, Frederick J Raal, Kausik K Ray, Raul D Santos, Anton F H Stalenhoef, Erik Stroes, Marja-Riitta Taskinen, Anne Tybjærg-Hansen, Gerald F Watts, Olov Wiklund, on behalf of the European Atherosclerosis Society Consensus Panel</w:t>
      </w:r>
    </w:p>
    <w:p w:rsidR="00A70A16" w:rsidRDefault="00A70A16" w:rsidP="00A70A16">
      <w:pPr>
        <w:spacing w:after="0"/>
        <w:rPr>
          <w:b/>
          <w:bCs/>
        </w:rPr>
      </w:pPr>
    </w:p>
    <w:p w:rsidR="00B36D22" w:rsidRPr="00A70A16" w:rsidRDefault="00B36D22" w:rsidP="00A70A16">
      <w:pPr>
        <w:spacing w:after="0"/>
        <w:rPr>
          <w:b/>
          <w:bCs/>
        </w:rPr>
      </w:pPr>
    </w:p>
    <w:p w:rsidR="002D1A79" w:rsidRPr="00A70A16" w:rsidRDefault="003F3CE5" w:rsidP="00B36D22">
      <w:pPr>
        <w:pBdr>
          <w:top w:val="single" w:sz="4" w:space="1" w:color="auto"/>
          <w:left w:val="single" w:sz="4" w:space="4" w:color="auto"/>
          <w:bottom w:val="single" w:sz="4" w:space="1" w:color="auto"/>
          <w:right w:val="single" w:sz="4" w:space="4" w:color="auto"/>
        </w:pBdr>
        <w:spacing w:after="0"/>
        <w:rPr>
          <w:rFonts w:cs="Calibri"/>
          <w:b/>
          <w:color w:val="C00000"/>
          <w:sz w:val="24"/>
          <w:szCs w:val="24"/>
        </w:rPr>
      </w:pPr>
      <w:r w:rsidRPr="00A70A16">
        <w:rPr>
          <w:rFonts w:cs="Calibri"/>
          <w:b/>
          <w:color w:val="C00000"/>
          <w:sz w:val="24"/>
          <w:szCs w:val="24"/>
        </w:rPr>
        <w:t>Abstract</w:t>
      </w:r>
    </w:p>
    <w:p w:rsidR="00166A9B" w:rsidRPr="00BF57A9" w:rsidRDefault="0034025A" w:rsidP="00B36D22">
      <w:pPr>
        <w:pBdr>
          <w:top w:val="single" w:sz="4" w:space="1" w:color="auto"/>
          <w:left w:val="single" w:sz="4" w:space="4" w:color="auto"/>
          <w:bottom w:val="single" w:sz="4" w:space="1" w:color="auto"/>
          <w:right w:val="single" w:sz="4" w:space="4" w:color="auto"/>
        </w:pBdr>
        <w:spacing w:after="0"/>
        <w:rPr>
          <w:rFonts w:cs="Calibri"/>
          <w:b/>
        </w:rPr>
      </w:pPr>
      <w:r w:rsidRPr="00BF57A9">
        <w:rPr>
          <w:rFonts w:cs="Calibri"/>
          <w:b/>
        </w:rPr>
        <w:t>Plasma triglyceride concentration</w:t>
      </w:r>
      <w:r w:rsidR="00166A9B" w:rsidRPr="00BF57A9">
        <w:rPr>
          <w:rFonts w:cs="Calibri"/>
          <w:b/>
        </w:rPr>
        <w:t xml:space="preserve"> is</w:t>
      </w:r>
      <w:r w:rsidRPr="00BF57A9">
        <w:rPr>
          <w:rFonts w:cs="Calibri"/>
          <w:b/>
        </w:rPr>
        <w:t xml:space="preserve"> a biomarker of circulating triglyceride-rich lipoprotein</w:t>
      </w:r>
      <w:r w:rsidR="00254921" w:rsidRPr="00BF57A9">
        <w:rPr>
          <w:rFonts w:cs="Calibri"/>
          <w:b/>
        </w:rPr>
        <w:t>s</w:t>
      </w:r>
      <w:r w:rsidR="00EA7DA6" w:rsidRPr="00BF57A9">
        <w:rPr>
          <w:rFonts w:cs="Calibri"/>
          <w:b/>
        </w:rPr>
        <w:t xml:space="preserve"> and their metabolic remnants</w:t>
      </w:r>
      <w:r w:rsidR="00254921" w:rsidRPr="00BF57A9">
        <w:rPr>
          <w:rFonts w:cs="Calibri"/>
          <w:b/>
        </w:rPr>
        <w:t>. Common mild-to-moderate hypertriglycerid</w:t>
      </w:r>
      <w:r w:rsidR="00F028E9" w:rsidRPr="00BF57A9">
        <w:rPr>
          <w:rFonts w:cs="Calibri"/>
          <w:b/>
        </w:rPr>
        <w:t>aemia</w:t>
      </w:r>
      <w:r w:rsidR="00254921" w:rsidRPr="00BF57A9">
        <w:rPr>
          <w:rFonts w:cs="Calibri"/>
          <w:b/>
        </w:rPr>
        <w:t xml:space="preserve"> is typically multigenic, </w:t>
      </w:r>
      <w:r w:rsidR="00F759D3" w:rsidRPr="00BF57A9">
        <w:rPr>
          <w:rFonts w:cs="Calibri"/>
          <w:b/>
        </w:rPr>
        <w:t>and</w:t>
      </w:r>
      <w:r w:rsidR="00254921" w:rsidRPr="00BF57A9">
        <w:rPr>
          <w:rFonts w:cs="Calibri"/>
          <w:b/>
        </w:rPr>
        <w:t xml:space="preserve"> determined by </w:t>
      </w:r>
      <w:r w:rsidR="0081484E" w:rsidRPr="00BF57A9">
        <w:rPr>
          <w:rFonts w:cs="Calibri"/>
          <w:b/>
        </w:rPr>
        <w:t xml:space="preserve">the </w:t>
      </w:r>
      <w:r w:rsidR="00F759D3" w:rsidRPr="00BF57A9">
        <w:rPr>
          <w:rFonts w:cs="Calibri"/>
          <w:b/>
        </w:rPr>
        <w:t>cumulative</w:t>
      </w:r>
      <w:r w:rsidR="00254921" w:rsidRPr="00BF57A9">
        <w:rPr>
          <w:rFonts w:cs="Calibri"/>
          <w:b/>
        </w:rPr>
        <w:t xml:space="preserve"> burden of common and rare variants in &gt;30 genes, </w:t>
      </w:r>
      <w:r w:rsidR="00F759D3" w:rsidRPr="00BF57A9">
        <w:rPr>
          <w:rFonts w:cs="Calibri"/>
          <w:b/>
        </w:rPr>
        <w:t xml:space="preserve">as </w:t>
      </w:r>
      <w:r w:rsidR="00254921" w:rsidRPr="00BF57A9">
        <w:rPr>
          <w:rFonts w:cs="Calibri"/>
          <w:b/>
        </w:rPr>
        <w:t xml:space="preserve">quantified </w:t>
      </w:r>
      <w:r w:rsidR="00F759D3" w:rsidRPr="00BF57A9">
        <w:rPr>
          <w:rFonts w:cs="Calibri"/>
          <w:b/>
        </w:rPr>
        <w:t>by</w:t>
      </w:r>
      <w:r w:rsidR="00254921" w:rsidRPr="00BF57A9">
        <w:rPr>
          <w:rFonts w:cs="Calibri"/>
          <w:b/>
        </w:rPr>
        <w:t xml:space="preserve"> genetic risk scores. </w:t>
      </w:r>
      <w:r w:rsidR="00166A9B" w:rsidRPr="00BF57A9">
        <w:rPr>
          <w:rFonts w:cs="Calibri"/>
          <w:b/>
        </w:rPr>
        <w:t>Rare autosomal recessive monogenic hypertriglycerid</w:t>
      </w:r>
      <w:r w:rsidR="00577256" w:rsidRPr="00BF57A9">
        <w:rPr>
          <w:rFonts w:cs="Calibri"/>
          <w:b/>
        </w:rPr>
        <w:t>a</w:t>
      </w:r>
      <w:r w:rsidR="00166A9B" w:rsidRPr="00BF57A9">
        <w:rPr>
          <w:rFonts w:cs="Calibri"/>
          <w:b/>
        </w:rPr>
        <w:t xml:space="preserve">emia can result from mutations of large effect in six different genes. </w:t>
      </w:r>
      <w:r w:rsidR="00254921" w:rsidRPr="00BF57A9">
        <w:rPr>
          <w:rFonts w:cs="Calibri"/>
          <w:b/>
        </w:rPr>
        <w:t>Hypertriglycerid</w:t>
      </w:r>
      <w:r w:rsidR="00577256" w:rsidRPr="00BF57A9">
        <w:rPr>
          <w:rFonts w:cs="Calibri"/>
          <w:b/>
        </w:rPr>
        <w:t>a</w:t>
      </w:r>
      <w:r w:rsidR="00254921" w:rsidRPr="00BF57A9">
        <w:rPr>
          <w:rFonts w:cs="Calibri"/>
          <w:b/>
        </w:rPr>
        <w:t xml:space="preserve">emia </w:t>
      </w:r>
      <w:r w:rsidR="00F759D3" w:rsidRPr="00BF57A9">
        <w:rPr>
          <w:rFonts w:cs="Calibri"/>
          <w:b/>
        </w:rPr>
        <w:t>is</w:t>
      </w:r>
      <w:r w:rsidR="00254921" w:rsidRPr="00BF57A9">
        <w:rPr>
          <w:rFonts w:cs="Calibri"/>
          <w:b/>
        </w:rPr>
        <w:t xml:space="preserve"> exacerbated by non-genetic factors. Based on recent genetic data</w:t>
      </w:r>
      <w:r w:rsidR="00F759D3" w:rsidRPr="00BF57A9">
        <w:rPr>
          <w:rFonts w:cs="Calibri"/>
          <w:b/>
        </w:rPr>
        <w:t xml:space="preserve">, </w:t>
      </w:r>
      <w:r w:rsidR="00254921" w:rsidRPr="00BF57A9">
        <w:rPr>
          <w:rFonts w:cs="Calibri"/>
          <w:b/>
        </w:rPr>
        <w:t xml:space="preserve">we </w:t>
      </w:r>
      <w:r w:rsidR="00F759D3" w:rsidRPr="00BF57A9">
        <w:rPr>
          <w:rFonts w:cs="Calibri"/>
          <w:b/>
        </w:rPr>
        <w:t>re-define</w:t>
      </w:r>
      <w:r w:rsidR="00254921" w:rsidRPr="00BF57A9">
        <w:rPr>
          <w:rFonts w:cs="Calibri"/>
          <w:b/>
        </w:rPr>
        <w:t xml:space="preserve"> two hypertriglycerid</w:t>
      </w:r>
      <w:r w:rsidR="00577256" w:rsidRPr="00BF57A9">
        <w:rPr>
          <w:rFonts w:cs="Calibri"/>
          <w:b/>
        </w:rPr>
        <w:t>a</w:t>
      </w:r>
      <w:r w:rsidR="00254921" w:rsidRPr="00BF57A9">
        <w:rPr>
          <w:rFonts w:cs="Calibri"/>
          <w:b/>
        </w:rPr>
        <w:t xml:space="preserve">emic states: </w:t>
      </w:r>
      <w:r w:rsidR="00B12C96" w:rsidRPr="00BF57A9">
        <w:rPr>
          <w:rFonts w:cs="Calibri"/>
          <w:b/>
        </w:rPr>
        <w:t>(i)</w:t>
      </w:r>
      <w:r w:rsidR="00254921" w:rsidRPr="00BF57A9">
        <w:rPr>
          <w:rFonts w:cs="Calibri"/>
          <w:b/>
        </w:rPr>
        <w:t xml:space="preserve"> severe</w:t>
      </w:r>
      <w:r w:rsidR="0081484E" w:rsidRPr="00BF57A9">
        <w:rPr>
          <w:rFonts w:cs="Calibri"/>
          <w:b/>
        </w:rPr>
        <w:t xml:space="preserve"> </w:t>
      </w:r>
      <w:r w:rsidR="00F759D3" w:rsidRPr="00BF57A9">
        <w:rPr>
          <w:rFonts w:cs="Calibri"/>
          <w:b/>
        </w:rPr>
        <w:t>(</w:t>
      </w:r>
      <w:r w:rsidR="00254921" w:rsidRPr="00BF57A9">
        <w:rPr>
          <w:rFonts w:cs="Calibri"/>
          <w:b/>
        </w:rPr>
        <w:t>&gt;10 mmol/L</w:t>
      </w:r>
      <w:r w:rsidR="00F759D3" w:rsidRPr="00BF57A9">
        <w:rPr>
          <w:rFonts w:cs="Calibri"/>
          <w:b/>
        </w:rPr>
        <w:t>),</w:t>
      </w:r>
      <w:r w:rsidR="00254921" w:rsidRPr="00BF57A9">
        <w:rPr>
          <w:rFonts w:cs="Calibri"/>
          <w:b/>
        </w:rPr>
        <w:t xml:space="preserve"> more likely to have a monogenic cause</w:t>
      </w:r>
      <w:r w:rsidR="0044573C" w:rsidRPr="00BF57A9">
        <w:rPr>
          <w:rFonts w:cs="Calibri"/>
          <w:b/>
        </w:rPr>
        <w:t xml:space="preserve">, </w:t>
      </w:r>
      <w:r w:rsidR="00254921" w:rsidRPr="00BF57A9">
        <w:rPr>
          <w:rFonts w:cs="Calibri"/>
          <w:b/>
        </w:rPr>
        <w:t xml:space="preserve">and </w:t>
      </w:r>
      <w:r w:rsidR="00B12C96" w:rsidRPr="00BF57A9">
        <w:rPr>
          <w:rFonts w:cs="Calibri"/>
          <w:b/>
        </w:rPr>
        <w:t>(ii)</w:t>
      </w:r>
      <w:r w:rsidR="00254921" w:rsidRPr="00BF57A9">
        <w:rPr>
          <w:rFonts w:cs="Calibri"/>
          <w:b/>
        </w:rPr>
        <w:t xml:space="preserve"> mild-to-moderate</w:t>
      </w:r>
      <w:r w:rsidR="0081484E" w:rsidRPr="00BF57A9">
        <w:rPr>
          <w:rFonts w:cs="Calibri"/>
          <w:b/>
        </w:rPr>
        <w:t xml:space="preserve"> </w:t>
      </w:r>
      <w:r w:rsidR="00F759D3" w:rsidRPr="00BF57A9">
        <w:rPr>
          <w:rFonts w:cs="Calibri"/>
          <w:b/>
        </w:rPr>
        <w:t>(</w:t>
      </w:r>
      <w:r w:rsidR="00254921" w:rsidRPr="00BF57A9">
        <w:rPr>
          <w:rFonts w:cs="Calibri"/>
          <w:b/>
        </w:rPr>
        <w:t xml:space="preserve">2 </w:t>
      </w:r>
      <w:r w:rsidR="00F759D3" w:rsidRPr="00BF57A9">
        <w:rPr>
          <w:rFonts w:cs="Calibri"/>
          <w:b/>
        </w:rPr>
        <w:t xml:space="preserve">to </w:t>
      </w:r>
      <w:r w:rsidR="00254921" w:rsidRPr="00BF57A9">
        <w:rPr>
          <w:rFonts w:cs="Calibri"/>
          <w:b/>
        </w:rPr>
        <w:t>10 mmol/L</w:t>
      </w:r>
      <w:r w:rsidR="00F759D3" w:rsidRPr="00BF57A9">
        <w:rPr>
          <w:rFonts w:cs="Calibri"/>
          <w:b/>
        </w:rPr>
        <w:t>)</w:t>
      </w:r>
      <w:r w:rsidR="00254921" w:rsidRPr="00BF57A9">
        <w:rPr>
          <w:rFonts w:cs="Calibri"/>
          <w:b/>
        </w:rPr>
        <w:t>.</w:t>
      </w:r>
      <w:r w:rsidR="00F32749" w:rsidRPr="00BF57A9">
        <w:rPr>
          <w:rFonts w:cs="Calibri"/>
          <w:b/>
        </w:rPr>
        <w:t xml:space="preserve"> Due to </w:t>
      </w:r>
      <w:r w:rsidR="00F759D3" w:rsidRPr="00BF57A9">
        <w:rPr>
          <w:rFonts w:cs="Calibri"/>
          <w:b/>
        </w:rPr>
        <w:t xml:space="preserve">clustering of </w:t>
      </w:r>
      <w:r w:rsidR="00254921" w:rsidRPr="00BF57A9">
        <w:rPr>
          <w:rFonts w:cs="Calibri"/>
          <w:b/>
        </w:rPr>
        <w:t>susceptibility alleles and secondary factors in families</w:t>
      </w:r>
      <w:r w:rsidR="00F32749" w:rsidRPr="00BF57A9">
        <w:rPr>
          <w:rFonts w:cs="Calibri"/>
          <w:b/>
        </w:rPr>
        <w:t>,</w:t>
      </w:r>
      <w:r w:rsidR="00254921" w:rsidRPr="00BF57A9">
        <w:rPr>
          <w:rFonts w:cs="Calibri"/>
          <w:b/>
        </w:rPr>
        <w:t xml:space="preserve"> </w:t>
      </w:r>
      <w:r w:rsidR="004E62B6" w:rsidRPr="00BF57A9">
        <w:rPr>
          <w:rFonts w:cs="Calibri"/>
          <w:b/>
        </w:rPr>
        <w:t xml:space="preserve">biochemical </w:t>
      </w:r>
      <w:r w:rsidR="00254921" w:rsidRPr="00BF57A9">
        <w:rPr>
          <w:rFonts w:cs="Calibri"/>
          <w:b/>
        </w:rPr>
        <w:t xml:space="preserve">screening and </w:t>
      </w:r>
      <w:r w:rsidR="00604EB7" w:rsidRPr="00BF57A9">
        <w:rPr>
          <w:rFonts w:cs="Calibri"/>
          <w:b/>
        </w:rPr>
        <w:t>counselling</w:t>
      </w:r>
      <w:r w:rsidR="00254921" w:rsidRPr="00BF57A9">
        <w:rPr>
          <w:rFonts w:cs="Calibri"/>
          <w:b/>
        </w:rPr>
        <w:t xml:space="preserve"> of family members </w:t>
      </w:r>
      <w:r w:rsidR="00F32749" w:rsidRPr="00BF57A9">
        <w:rPr>
          <w:rFonts w:cs="Calibri"/>
          <w:b/>
        </w:rPr>
        <w:t xml:space="preserve">is </w:t>
      </w:r>
      <w:r w:rsidR="00254921" w:rsidRPr="00BF57A9">
        <w:rPr>
          <w:rFonts w:cs="Calibri"/>
          <w:b/>
        </w:rPr>
        <w:t>essential</w:t>
      </w:r>
      <w:r w:rsidR="004E62B6" w:rsidRPr="00BF57A9">
        <w:rPr>
          <w:rFonts w:cs="Calibri"/>
          <w:b/>
        </w:rPr>
        <w:t>, while routine genetic testing is not warranted</w:t>
      </w:r>
      <w:r w:rsidR="00254921" w:rsidRPr="00BF57A9">
        <w:rPr>
          <w:rFonts w:cs="Calibri"/>
          <w:b/>
        </w:rPr>
        <w:t xml:space="preserve">. Treatment includes management of lifestyle and secondary factors, and </w:t>
      </w:r>
      <w:r w:rsidR="00F32749" w:rsidRPr="00BF57A9">
        <w:rPr>
          <w:rFonts w:cs="Calibri"/>
          <w:b/>
        </w:rPr>
        <w:t>pharmacotherapy</w:t>
      </w:r>
      <w:r w:rsidR="00254921" w:rsidRPr="00BF57A9">
        <w:rPr>
          <w:rFonts w:cs="Calibri"/>
          <w:b/>
        </w:rPr>
        <w:t xml:space="preserve">. </w:t>
      </w:r>
      <w:r w:rsidR="00604EB7" w:rsidRPr="00BF57A9">
        <w:rPr>
          <w:rFonts w:cs="Calibri"/>
          <w:b/>
        </w:rPr>
        <w:t>I</w:t>
      </w:r>
      <w:r w:rsidR="00DA0A83" w:rsidRPr="00BF57A9">
        <w:rPr>
          <w:rFonts w:cs="Calibri"/>
          <w:b/>
        </w:rPr>
        <w:t>n severe hypertriglyceridaemia, i</w:t>
      </w:r>
      <w:r w:rsidR="00997DBF" w:rsidRPr="00BF57A9">
        <w:rPr>
          <w:rFonts w:cs="Calibri"/>
          <w:b/>
        </w:rPr>
        <w:t xml:space="preserve">ntervention </w:t>
      </w:r>
      <w:r w:rsidR="00254921" w:rsidRPr="00BF57A9">
        <w:rPr>
          <w:rFonts w:cs="Calibri"/>
          <w:b/>
        </w:rPr>
        <w:t xml:space="preserve">is indicated due to pancreatitis risk, </w:t>
      </w:r>
      <w:r w:rsidR="00997DBF" w:rsidRPr="00BF57A9">
        <w:rPr>
          <w:rFonts w:cs="Calibri"/>
          <w:b/>
        </w:rPr>
        <w:t xml:space="preserve">and </w:t>
      </w:r>
      <w:r w:rsidR="00254921" w:rsidRPr="00BF57A9">
        <w:rPr>
          <w:rFonts w:cs="Calibri"/>
          <w:b/>
        </w:rPr>
        <w:t>in mild-to-moderate hypertriglycerid</w:t>
      </w:r>
      <w:r w:rsidR="00577256" w:rsidRPr="00BF57A9">
        <w:rPr>
          <w:rFonts w:cs="Calibri"/>
          <w:b/>
        </w:rPr>
        <w:t>a</w:t>
      </w:r>
      <w:r w:rsidR="00254921" w:rsidRPr="00BF57A9">
        <w:rPr>
          <w:rFonts w:cs="Calibri"/>
          <w:b/>
        </w:rPr>
        <w:t>emia</w:t>
      </w:r>
      <w:r w:rsidR="00604EB7" w:rsidRPr="00BF57A9">
        <w:rPr>
          <w:rFonts w:cs="Calibri"/>
          <w:b/>
        </w:rPr>
        <w:t>,</w:t>
      </w:r>
      <w:r w:rsidR="00254921" w:rsidRPr="00BF57A9">
        <w:rPr>
          <w:rFonts w:cs="Calibri"/>
          <w:b/>
        </w:rPr>
        <w:t xml:space="preserve"> is aimed at preventing cardiovascular disease</w:t>
      </w:r>
      <w:r w:rsidR="00F32749" w:rsidRPr="00BF57A9">
        <w:rPr>
          <w:rFonts w:cs="Calibri"/>
          <w:b/>
        </w:rPr>
        <w:t>, depending on</w:t>
      </w:r>
      <w:r w:rsidRPr="00BF57A9">
        <w:rPr>
          <w:rFonts w:cs="Calibri"/>
          <w:b/>
        </w:rPr>
        <w:t xml:space="preserve"> </w:t>
      </w:r>
      <w:r w:rsidR="00254921" w:rsidRPr="00BF57A9">
        <w:rPr>
          <w:rFonts w:cs="Calibri"/>
          <w:b/>
        </w:rPr>
        <w:t xml:space="preserve">triglyceride </w:t>
      </w:r>
      <w:r w:rsidRPr="00BF57A9">
        <w:rPr>
          <w:rFonts w:cs="Calibri"/>
          <w:b/>
        </w:rPr>
        <w:t xml:space="preserve">elevation, concomitant </w:t>
      </w:r>
      <w:r w:rsidR="00254921" w:rsidRPr="00BF57A9">
        <w:rPr>
          <w:rFonts w:cs="Calibri"/>
          <w:b/>
        </w:rPr>
        <w:t>lipoprotein disturbances</w:t>
      </w:r>
      <w:r w:rsidRPr="00BF57A9">
        <w:rPr>
          <w:rFonts w:cs="Calibri"/>
          <w:b/>
        </w:rPr>
        <w:t xml:space="preserve">, and overall </w:t>
      </w:r>
      <w:r w:rsidR="00254921" w:rsidRPr="00BF57A9">
        <w:rPr>
          <w:rFonts w:cs="Calibri"/>
          <w:b/>
        </w:rPr>
        <w:t xml:space="preserve">cardiovascular </w:t>
      </w:r>
      <w:r w:rsidRPr="00BF57A9">
        <w:rPr>
          <w:rFonts w:cs="Calibri"/>
          <w:b/>
        </w:rPr>
        <w:t>risk</w:t>
      </w:r>
      <w:r w:rsidR="00254921" w:rsidRPr="00BF57A9">
        <w:rPr>
          <w:rFonts w:cs="Calibri"/>
          <w:b/>
        </w:rPr>
        <w:t>.</w:t>
      </w:r>
    </w:p>
    <w:p w:rsidR="00410AC4" w:rsidRPr="009A5415" w:rsidRDefault="00410AC4" w:rsidP="00B36D22">
      <w:pPr>
        <w:pBdr>
          <w:top w:val="single" w:sz="4" w:space="1" w:color="auto"/>
          <w:left w:val="single" w:sz="4" w:space="4" w:color="auto"/>
          <w:bottom w:val="single" w:sz="4" w:space="1" w:color="auto"/>
          <w:right w:val="single" w:sz="4" w:space="4" w:color="auto"/>
        </w:pBdr>
        <w:spacing w:after="0"/>
        <w:rPr>
          <w:rFonts w:eastAsia="Calibri" w:cs="Calibri"/>
        </w:rPr>
      </w:pPr>
    </w:p>
    <w:p w:rsidR="00410AC4" w:rsidRDefault="00410AC4">
      <w:pPr>
        <w:spacing w:after="0" w:line="240" w:lineRule="auto"/>
        <w:rPr>
          <w:rFonts w:eastAsia="Calibri" w:cs="Calibri"/>
        </w:rPr>
      </w:pPr>
      <w:r>
        <w:rPr>
          <w:rFonts w:eastAsia="Calibri" w:cs="Calibri"/>
        </w:rPr>
        <w:br w:type="page"/>
      </w:r>
    </w:p>
    <w:p w:rsidR="00BF57A9" w:rsidRDefault="00BF57A9" w:rsidP="00A70A16">
      <w:pPr>
        <w:spacing w:after="0"/>
        <w:rPr>
          <w:rFonts w:eastAsia="Calibri" w:cs="Calibri"/>
        </w:rPr>
        <w:sectPr w:rsidR="00BF57A9" w:rsidSect="00A25FE8">
          <w:headerReference w:type="default" r:id="rId8"/>
          <w:footerReference w:type="default" r:id="rId9"/>
          <w:type w:val="continuous"/>
          <w:pgSz w:w="12240" w:h="15840"/>
          <w:pgMar w:top="1440" w:right="1440" w:bottom="1440" w:left="1440" w:header="708" w:footer="708" w:gutter="0"/>
          <w:cols w:space="708"/>
          <w:docGrid w:linePitch="360"/>
        </w:sectPr>
      </w:pPr>
    </w:p>
    <w:p w:rsidR="00A70A16" w:rsidRDefault="00EA7DA6" w:rsidP="00A70A16">
      <w:pPr>
        <w:spacing w:after="0"/>
        <w:rPr>
          <w:rFonts w:eastAsia="Calibri" w:cs="Calibri"/>
        </w:rPr>
      </w:pPr>
      <w:r w:rsidRPr="002C4DE0">
        <w:rPr>
          <w:rFonts w:eastAsia="Calibri" w:cs="Calibri"/>
        </w:rPr>
        <w:lastRenderedPageBreak/>
        <w:t xml:space="preserve">The complex </w:t>
      </w:r>
      <w:r w:rsidR="00ED00FF">
        <w:rPr>
          <w:rFonts w:eastAsia="Calibri" w:cs="Calibri"/>
        </w:rPr>
        <w:t>a</w:t>
      </w:r>
      <w:r w:rsidRPr="002C4DE0">
        <w:rPr>
          <w:rFonts w:eastAsia="Calibri" w:cs="Calibri"/>
        </w:rPr>
        <w:t xml:space="preserve">etiology and classification of </w:t>
      </w:r>
      <w:r w:rsidR="0054379A">
        <w:rPr>
          <w:rFonts w:eastAsia="Calibri" w:cs="Calibri"/>
        </w:rPr>
        <w:t>hypertriglycerid</w:t>
      </w:r>
      <w:r w:rsidR="00577256">
        <w:rPr>
          <w:rFonts w:eastAsia="Calibri" w:cs="Calibri"/>
        </w:rPr>
        <w:t>a</w:t>
      </w:r>
      <w:r w:rsidR="0054379A">
        <w:rPr>
          <w:rFonts w:eastAsia="Calibri" w:cs="Calibri"/>
        </w:rPr>
        <w:t>emia (</w:t>
      </w:r>
      <w:r w:rsidRPr="002C4DE0">
        <w:rPr>
          <w:rFonts w:eastAsia="Calibri" w:cs="Calibri"/>
        </w:rPr>
        <w:t>HTG</w:t>
      </w:r>
      <w:r w:rsidR="0054379A">
        <w:rPr>
          <w:rFonts w:eastAsia="Calibri" w:cs="Calibri"/>
        </w:rPr>
        <w:t>)</w:t>
      </w:r>
      <w:r w:rsidRPr="002C4DE0">
        <w:rPr>
          <w:rFonts w:eastAsia="Calibri" w:cs="Calibri"/>
        </w:rPr>
        <w:t xml:space="preserve"> frequently renders diagnosis and management a challenge to many clinicians of diverse </w:t>
      </w:r>
      <w:r w:rsidR="002C4DE0" w:rsidRPr="002C4DE0">
        <w:rPr>
          <w:rFonts w:eastAsia="Calibri" w:cs="Calibri"/>
        </w:rPr>
        <w:t>specialties</w:t>
      </w:r>
      <w:r w:rsidRPr="002C4DE0">
        <w:rPr>
          <w:rFonts w:eastAsia="Calibri" w:cs="Calibri"/>
        </w:rPr>
        <w:t xml:space="preserve">. HTG is usually diagnosed when the fasting plasma </w:t>
      </w:r>
      <w:r w:rsidR="004672A8">
        <w:rPr>
          <w:rFonts w:eastAsia="Calibri" w:cs="Calibri"/>
        </w:rPr>
        <w:t>triglyceride (</w:t>
      </w:r>
      <w:r w:rsidRPr="002C4DE0">
        <w:rPr>
          <w:rFonts w:eastAsia="Calibri" w:cs="Calibri"/>
        </w:rPr>
        <w:t>TG</w:t>
      </w:r>
      <w:r w:rsidR="004672A8">
        <w:rPr>
          <w:rFonts w:eastAsia="Calibri" w:cs="Calibri"/>
        </w:rPr>
        <w:t>)</w:t>
      </w:r>
      <w:r w:rsidRPr="002C4DE0">
        <w:rPr>
          <w:rFonts w:eastAsia="Calibri" w:cs="Calibri"/>
        </w:rPr>
        <w:t xml:space="preserve"> concentration exceeds a threshold value, such as &gt;1</w:t>
      </w:r>
      <w:r w:rsidR="00F603DE">
        <w:rPr>
          <w:rFonts w:eastAsia="Calibri" w:cs="Calibri"/>
        </w:rPr>
        <w:t>·</w:t>
      </w:r>
      <w:r w:rsidRPr="002C4DE0">
        <w:rPr>
          <w:rFonts w:eastAsia="Calibri" w:cs="Calibri"/>
        </w:rPr>
        <w:t>7 mmol/L (&gt;</w:t>
      </w:r>
      <w:r w:rsidR="008E32FC" w:rsidRPr="002C4DE0">
        <w:rPr>
          <w:rFonts w:eastAsia="Calibri" w:cs="Calibri"/>
        </w:rPr>
        <w:t>150</w:t>
      </w:r>
      <w:r w:rsidR="008E32FC">
        <w:rPr>
          <w:rFonts w:eastAsia="Calibri" w:cs="Calibri"/>
        </w:rPr>
        <w:t> </w:t>
      </w:r>
      <w:r w:rsidRPr="002C4DE0">
        <w:rPr>
          <w:rFonts w:eastAsia="Calibri" w:cs="Calibri"/>
        </w:rPr>
        <w:t xml:space="preserve">mg/dL). Severe HTG is often defined when </w:t>
      </w:r>
      <w:r w:rsidR="0054379A">
        <w:rPr>
          <w:rFonts w:eastAsia="Calibri" w:cs="Calibri"/>
        </w:rPr>
        <w:t xml:space="preserve">plasma </w:t>
      </w:r>
      <w:r w:rsidRPr="002C4DE0">
        <w:rPr>
          <w:rFonts w:eastAsia="Calibri" w:cs="Calibri"/>
        </w:rPr>
        <w:t xml:space="preserve">TG concentration </w:t>
      </w:r>
      <w:r w:rsidR="000708D4">
        <w:rPr>
          <w:rFonts w:eastAsia="Calibri" w:cs="Calibri"/>
        </w:rPr>
        <w:t>is &gt;</w:t>
      </w:r>
      <w:r w:rsidRPr="002C4DE0">
        <w:rPr>
          <w:rFonts w:eastAsia="Calibri" w:cs="Calibri"/>
        </w:rPr>
        <w:t>10 mmol/L (&gt;</w:t>
      </w:r>
      <w:r w:rsidR="008E32FC" w:rsidRPr="002C4DE0">
        <w:rPr>
          <w:rFonts w:eastAsia="Calibri" w:cs="Calibri"/>
        </w:rPr>
        <w:t>8</w:t>
      </w:r>
      <w:r w:rsidR="008A5B7E">
        <w:rPr>
          <w:rFonts w:eastAsia="Calibri" w:cs="Calibri"/>
        </w:rPr>
        <w:t>8</w:t>
      </w:r>
      <w:r w:rsidR="008E32FC" w:rsidRPr="002C4DE0">
        <w:rPr>
          <w:rFonts w:eastAsia="Calibri" w:cs="Calibri"/>
        </w:rPr>
        <w:t>5</w:t>
      </w:r>
      <w:r w:rsidR="008E32FC">
        <w:rPr>
          <w:rFonts w:eastAsia="Calibri" w:cs="Calibri"/>
        </w:rPr>
        <w:t> </w:t>
      </w:r>
      <w:r w:rsidRPr="002C4DE0">
        <w:rPr>
          <w:rFonts w:eastAsia="Calibri" w:cs="Calibri"/>
        </w:rPr>
        <w:t>mg/dL)</w:t>
      </w:r>
      <w:r w:rsidR="007308F8">
        <w:rPr>
          <w:rFonts w:eastAsia="Calibri" w:cs="Calibri"/>
        </w:rPr>
        <w:t>.</w:t>
      </w:r>
      <w:r w:rsidR="00DA0A83" w:rsidRPr="00997DBF">
        <w:rPr>
          <w:rFonts w:eastAsia="Calibri" w:cs="Calibri"/>
          <w:vertAlign w:val="superscript"/>
        </w:rPr>
        <w:t>1</w:t>
      </w:r>
      <w:r w:rsidR="005A5F5E">
        <w:rPr>
          <w:rFonts w:eastAsia="Calibri" w:cs="Calibri"/>
          <w:vertAlign w:val="superscript"/>
        </w:rPr>
        <w:t>–</w:t>
      </w:r>
      <w:r w:rsidR="00DA0A83" w:rsidRPr="00997DBF">
        <w:rPr>
          <w:rFonts w:eastAsia="Calibri" w:cs="Calibri"/>
          <w:vertAlign w:val="superscript"/>
        </w:rPr>
        <w:t>7</w:t>
      </w:r>
      <w:r w:rsidR="00DA0A83" w:rsidRPr="002C4DE0">
        <w:rPr>
          <w:rFonts w:eastAsia="Calibri" w:cs="Calibri"/>
        </w:rPr>
        <w:t xml:space="preserve"> </w:t>
      </w:r>
      <w:r w:rsidRPr="002C4DE0">
        <w:rPr>
          <w:rFonts w:eastAsia="Calibri" w:cs="Calibri"/>
        </w:rPr>
        <w:t>Proposed definitions vary (</w:t>
      </w:r>
      <w:r w:rsidRPr="00A70A16">
        <w:rPr>
          <w:rFonts w:eastAsia="Calibri" w:cs="Calibri"/>
          <w:b/>
        </w:rPr>
        <w:t>Table 1</w:t>
      </w:r>
      <w:r w:rsidR="0044573C" w:rsidRPr="002C4DE0">
        <w:rPr>
          <w:rFonts w:eastAsia="Calibri" w:cs="Calibri"/>
        </w:rPr>
        <w:t>)</w:t>
      </w:r>
      <w:r w:rsidR="0044573C">
        <w:rPr>
          <w:rFonts w:eastAsia="Calibri" w:cs="Calibri"/>
        </w:rPr>
        <w:t xml:space="preserve"> and</w:t>
      </w:r>
      <w:r w:rsidR="0044573C" w:rsidRPr="002C4DE0">
        <w:rPr>
          <w:rFonts w:eastAsia="Calibri" w:cs="Calibri"/>
        </w:rPr>
        <w:t xml:space="preserve"> </w:t>
      </w:r>
      <w:r w:rsidRPr="002C4DE0">
        <w:rPr>
          <w:rFonts w:eastAsia="Calibri" w:cs="Calibri"/>
        </w:rPr>
        <w:t xml:space="preserve">none predominates in clinical use. </w:t>
      </w:r>
    </w:p>
    <w:p w:rsidR="00A70A16" w:rsidRDefault="00A70A16" w:rsidP="00A70A16">
      <w:pPr>
        <w:spacing w:after="0"/>
        <w:rPr>
          <w:rFonts w:eastAsia="Calibri" w:cs="Calibri"/>
        </w:rPr>
      </w:pPr>
    </w:p>
    <w:p w:rsidR="00EA7DA6" w:rsidRDefault="00EA7DA6" w:rsidP="00A70A16">
      <w:pPr>
        <w:spacing w:after="0"/>
        <w:rPr>
          <w:rFonts w:eastAsia="Calibri" w:cs="Calibri"/>
        </w:rPr>
      </w:pPr>
      <w:r w:rsidRPr="002C4DE0">
        <w:rPr>
          <w:rFonts w:eastAsia="Calibri" w:cs="Calibri"/>
        </w:rPr>
        <w:t>Traditional classification schemes of HTG have used terms such as “familial HTG” and “familial combined hyperlipid</w:t>
      </w:r>
      <w:r w:rsidR="00577256">
        <w:rPr>
          <w:rFonts w:eastAsia="Calibri" w:cs="Calibri"/>
        </w:rPr>
        <w:t>a</w:t>
      </w:r>
      <w:r w:rsidRPr="002C4DE0">
        <w:rPr>
          <w:rFonts w:eastAsia="Calibri" w:cs="Calibri"/>
        </w:rPr>
        <w:t>emia”, which implied a single</w:t>
      </w:r>
      <w:r w:rsidR="007B1479">
        <w:rPr>
          <w:rFonts w:eastAsia="Calibri" w:cs="Calibri"/>
        </w:rPr>
        <w:t xml:space="preserve"> </w:t>
      </w:r>
      <w:r w:rsidRPr="002C4DE0">
        <w:rPr>
          <w:rFonts w:eastAsia="Calibri" w:cs="Calibri"/>
        </w:rPr>
        <w:t xml:space="preserve">gene or monogenic </w:t>
      </w:r>
      <w:r w:rsidR="00604EB7">
        <w:rPr>
          <w:rFonts w:eastAsia="Calibri" w:cs="Calibri"/>
        </w:rPr>
        <w:t>a</w:t>
      </w:r>
      <w:r w:rsidRPr="002C4DE0">
        <w:rPr>
          <w:rFonts w:eastAsia="Calibri" w:cs="Calibri"/>
        </w:rPr>
        <w:t>etiology. However, most instances of HTG are the result of multiple genetic factors, i.e. they are multigenic or polygenic, and involve accumulations of both common DNA variants with small effect size</w:t>
      </w:r>
      <w:r w:rsidR="0044573C">
        <w:rPr>
          <w:rFonts w:eastAsia="Calibri" w:cs="Calibri"/>
        </w:rPr>
        <w:t>,</w:t>
      </w:r>
      <w:r w:rsidRPr="002C4DE0">
        <w:rPr>
          <w:rFonts w:eastAsia="Calibri" w:cs="Calibri"/>
        </w:rPr>
        <w:t xml:space="preserve"> and rare DNA variants with large effect size</w:t>
      </w:r>
      <w:r w:rsidR="007308F8">
        <w:rPr>
          <w:rFonts w:eastAsia="Calibri" w:cs="Calibri"/>
        </w:rPr>
        <w:t>.</w:t>
      </w:r>
      <w:r w:rsidRPr="00997DBF">
        <w:rPr>
          <w:rFonts w:eastAsia="Calibri" w:cs="Calibri"/>
          <w:vertAlign w:val="superscript"/>
        </w:rPr>
        <w:t>4</w:t>
      </w:r>
      <w:r w:rsidRPr="002C4DE0">
        <w:rPr>
          <w:rFonts w:eastAsia="Calibri" w:cs="Calibri"/>
        </w:rPr>
        <w:t xml:space="preserve"> HTG in susceptible individuals is further exacerbated by exposure to non-genetic </w:t>
      </w:r>
      <w:r w:rsidRPr="002C4DE0">
        <w:rPr>
          <w:rFonts w:eastAsia="Calibri" w:cs="Calibri"/>
        </w:rPr>
        <w:lastRenderedPageBreak/>
        <w:t>secondary factors</w:t>
      </w:r>
      <w:r w:rsidR="007308F8">
        <w:rPr>
          <w:rFonts w:eastAsia="Calibri" w:cs="Calibri"/>
        </w:rPr>
        <w:t>,</w:t>
      </w:r>
      <w:r w:rsidRPr="00997DBF">
        <w:rPr>
          <w:rFonts w:eastAsia="Calibri" w:cs="Calibri"/>
          <w:vertAlign w:val="superscript"/>
        </w:rPr>
        <w:t>4</w:t>
      </w:r>
      <w:r w:rsidRPr="002C4DE0">
        <w:rPr>
          <w:rFonts w:eastAsia="Calibri" w:cs="Calibri"/>
        </w:rPr>
        <w:t xml:space="preserve"> including lifestyle factors such as </w:t>
      </w:r>
      <w:r w:rsidR="00604EB7">
        <w:rPr>
          <w:rFonts w:eastAsia="Calibri" w:cs="Calibri"/>
        </w:rPr>
        <w:t xml:space="preserve">being </w:t>
      </w:r>
      <w:r w:rsidRPr="002C4DE0">
        <w:rPr>
          <w:rFonts w:eastAsia="Calibri" w:cs="Calibri"/>
        </w:rPr>
        <w:t xml:space="preserve">overweight and alcohol use. </w:t>
      </w:r>
    </w:p>
    <w:p w:rsidR="00A70A16" w:rsidRDefault="00A70A16" w:rsidP="00A70A16">
      <w:pPr>
        <w:spacing w:after="0"/>
        <w:rPr>
          <w:rFonts w:eastAsia="Calibri" w:cs="Calibri"/>
        </w:rPr>
      </w:pPr>
    </w:p>
    <w:p w:rsidR="00EA7DA6" w:rsidRDefault="00EA7DA6" w:rsidP="00A70A16">
      <w:pPr>
        <w:spacing w:after="0"/>
        <w:rPr>
          <w:rFonts w:eastAsia="Calibri" w:cs="Calibri"/>
        </w:rPr>
      </w:pPr>
      <w:r w:rsidRPr="002C4DE0">
        <w:rPr>
          <w:rFonts w:eastAsia="Calibri" w:cs="Calibri"/>
        </w:rPr>
        <w:t>Although prospective and case-control studies have identified elevated plasma TG concentration as an independent risk factor for cardiovascular disease (CVD), uncertainty remains concerning the specific role of TG-rich lipoproteins in atherogenesis</w:t>
      </w:r>
      <w:r w:rsidR="007308F8">
        <w:rPr>
          <w:rFonts w:eastAsia="Calibri" w:cs="Calibri"/>
        </w:rPr>
        <w:t>.</w:t>
      </w:r>
      <w:r w:rsidRPr="00997DBF">
        <w:rPr>
          <w:rFonts w:eastAsia="Calibri" w:cs="Calibri"/>
          <w:vertAlign w:val="superscript"/>
        </w:rPr>
        <w:t>1</w:t>
      </w:r>
      <w:r w:rsidR="005A5F5E">
        <w:rPr>
          <w:rFonts w:eastAsia="Calibri" w:cs="Calibri"/>
          <w:vertAlign w:val="superscript"/>
        </w:rPr>
        <w:t>–</w:t>
      </w:r>
      <w:r w:rsidRPr="00997DBF">
        <w:rPr>
          <w:rFonts w:eastAsia="Calibri" w:cs="Calibri"/>
          <w:vertAlign w:val="superscript"/>
        </w:rPr>
        <w:t>3</w:t>
      </w:r>
      <w:r w:rsidRPr="002C4DE0">
        <w:rPr>
          <w:rFonts w:eastAsia="Calibri" w:cs="Calibri"/>
        </w:rPr>
        <w:t xml:space="preserve"> Furthermore, intervention studies aimed at reducing TG levels have reported inconsistent effects on CVD outcomes</w:t>
      </w:r>
      <w:r w:rsidR="0044573C">
        <w:rPr>
          <w:rFonts w:eastAsia="Calibri" w:cs="Calibri"/>
        </w:rPr>
        <w:t>,</w:t>
      </w:r>
      <w:r w:rsidRPr="002C4DE0">
        <w:rPr>
          <w:rFonts w:eastAsia="Calibri" w:cs="Calibri"/>
        </w:rPr>
        <w:t xml:space="preserve"> and no effect on stroke and all-cause mortality</w:t>
      </w:r>
      <w:r w:rsidR="007308F8">
        <w:rPr>
          <w:rFonts w:eastAsia="Calibri" w:cs="Calibri"/>
        </w:rPr>
        <w:t>.</w:t>
      </w:r>
      <w:r w:rsidRPr="00997DBF">
        <w:rPr>
          <w:rFonts w:eastAsia="Calibri" w:cs="Calibri"/>
          <w:vertAlign w:val="superscript"/>
        </w:rPr>
        <w:t>3</w:t>
      </w:r>
      <w:r w:rsidRPr="002C4DE0">
        <w:rPr>
          <w:rFonts w:eastAsia="Calibri" w:cs="Calibri"/>
        </w:rPr>
        <w:t xml:space="preserve"> Therefore, mild-to-moderate HTG is often viewed as a mere marker of CVD risk, whereas severe HTG remains a well-known risk factor for acute pancreatitis</w:t>
      </w:r>
      <w:r w:rsidR="007308F8">
        <w:rPr>
          <w:rFonts w:eastAsia="Calibri" w:cs="Calibri"/>
        </w:rPr>
        <w:t>.</w:t>
      </w:r>
      <w:r w:rsidRPr="00997DBF">
        <w:rPr>
          <w:rFonts w:eastAsia="Calibri" w:cs="Calibri"/>
          <w:vertAlign w:val="superscript"/>
        </w:rPr>
        <w:t>4</w:t>
      </w:r>
      <w:r w:rsidRPr="002C4DE0">
        <w:rPr>
          <w:rFonts w:eastAsia="Calibri" w:cs="Calibri"/>
        </w:rPr>
        <w:t xml:space="preserve"> While the need to intervene in an individual with severe HTG is straightforward, the appropriate response to mild-to-moderate HTG is less clear. Here we recommend re-defining HTG using a two-group classification to simplify the diagnosis and clinical management of HTG states.</w:t>
      </w:r>
    </w:p>
    <w:p w:rsidR="00BF57A9" w:rsidRDefault="00BF57A9" w:rsidP="00A70A16">
      <w:pPr>
        <w:spacing w:after="0"/>
        <w:rPr>
          <w:rFonts w:eastAsia="Calibri" w:cs="Calibri"/>
        </w:rPr>
        <w:sectPr w:rsidR="00BF57A9" w:rsidSect="00BF57A9">
          <w:type w:val="continuous"/>
          <w:pgSz w:w="12240" w:h="15840"/>
          <w:pgMar w:top="1440" w:right="1440" w:bottom="1440" w:left="1440" w:header="708" w:footer="708" w:gutter="0"/>
          <w:cols w:num="2" w:space="708"/>
          <w:docGrid w:linePitch="360"/>
        </w:sectPr>
      </w:pPr>
    </w:p>
    <w:p w:rsidR="00A70A16" w:rsidRDefault="00A70A16" w:rsidP="00A70A16">
      <w:pPr>
        <w:spacing w:after="0"/>
        <w:rPr>
          <w:rFonts w:eastAsia="Calibri" w:cs="Calibri"/>
        </w:rPr>
      </w:pPr>
    </w:p>
    <w:p w:rsidR="00410AC4" w:rsidRPr="00A70A16" w:rsidRDefault="00410AC4" w:rsidP="00410AC4">
      <w:pPr>
        <w:rPr>
          <w:rFonts w:cs="Calibri"/>
          <w:b/>
          <w:noProof/>
          <w:color w:val="C00000"/>
        </w:rPr>
      </w:pPr>
      <w:r w:rsidRPr="00A70A16">
        <w:rPr>
          <w:rFonts w:cs="Calibri"/>
          <w:b/>
          <w:noProof/>
          <w:color w:val="C00000"/>
        </w:rPr>
        <w:t xml:space="preserve">Table 1. </w:t>
      </w:r>
      <w:r>
        <w:rPr>
          <w:rFonts w:cs="Calibri"/>
          <w:b/>
          <w:noProof/>
          <w:color w:val="C00000"/>
        </w:rPr>
        <w:t>C</w:t>
      </w:r>
      <w:r w:rsidRPr="00A70A16">
        <w:rPr>
          <w:rFonts w:cs="Calibri"/>
          <w:b/>
          <w:noProof/>
          <w:color w:val="C00000"/>
        </w:rPr>
        <w:t>linical definitions</w:t>
      </w:r>
      <w:r>
        <w:rPr>
          <w:rFonts w:cs="Calibri"/>
          <w:b/>
          <w:noProof/>
          <w:color w:val="C00000"/>
        </w:rPr>
        <w:t xml:space="preserve"> for hypertriglyceridaemia</w:t>
      </w:r>
    </w:p>
    <w:tbl>
      <w:tblPr>
        <w:tblW w:w="9606" w:type="dxa"/>
        <w:shd w:val="clear" w:color="auto" w:fill="F8ECEC"/>
        <w:tblLook w:val="00A0"/>
      </w:tblPr>
      <w:tblGrid>
        <w:gridCol w:w="2201"/>
        <w:gridCol w:w="1162"/>
        <w:gridCol w:w="1423"/>
        <w:gridCol w:w="1451"/>
        <w:gridCol w:w="1362"/>
        <w:gridCol w:w="2007"/>
      </w:tblGrid>
      <w:tr w:rsidR="00410AC4" w:rsidRPr="006C6D7A" w:rsidTr="006D52E0">
        <w:tc>
          <w:tcPr>
            <w:tcW w:w="3258" w:type="dxa"/>
            <w:gridSpan w:val="2"/>
            <w:tcBorders>
              <w:top w:val="single" w:sz="4" w:space="0" w:color="auto"/>
              <w:left w:val="single" w:sz="4" w:space="0" w:color="auto"/>
              <w:bottom w:val="single" w:sz="4" w:space="0" w:color="auto"/>
              <w:right w:val="nil"/>
            </w:tcBorders>
            <w:shd w:val="clear" w:color="auto" w:fill="F8ECEC"/>
            <w:hideMark/>
          </w:tcPr>
          <w:p w:rsidR="00410AC4" w:rsidRPr="006C6D7A" w:rsidRDefault="00410AC4" w:rsidP="000F7FA8">
            <w:r w:rsidRPr="006C6D7A">
              <w:t>2011 ESC/EAS Guidelines</w:t>
            </w:r>
            <w:r w:rsidRPr="006C6D7A">
              <w:rPr>
                <w:vertAlign w:val="superscript"/>
              </w:rPr>
              <w:t>6,7</w:t>
            </w:r>
            <w:r w:rsidRPr="006C6D7A">
              <w:t xml:space="preserve"> </w:t>
            </w:r>
          </w:p>
        </w:tc>
        <w:tc>
          <w:tcPr>
            <w:tcW w:w="2910" w:type="dxa"/>
            <w:gridSpan w:val="2"/>
            <w:tcBorders>
              <w:top w:val="single" w:sz="4" w:space="0" w:color="auto"/>
              <w:left w:val="nil"/>
              <w:bottom w:val="single" w:sz="4" w:space="0" w:color="auto"/>
              <w:right w:val="nil"/>
            </w:tcBorders>
            <w:shd w:val="clear" w:color="auto" w:fill="F8ECEC"/>
            <w:hideMark/>
          </w:tcPr>
          <w:p w:rsidR="00410AC4" w:rsidRPr="006C6D7A" w:rsidRDefault="00410AC4" w:rsidP="000F7FA8">
            <w:r w:rsidRPr="006C6D7A">
              <w:t>2001 NCEP ATP III Guidelines</w:t>
            </w:r>
            <w:r w:rsidRPr="006C6D7A">
              <w:rPr>
                <w:vertAlign w:val="superscript"/>
              </w:rPr>
              <w:t>5</w:t>
            </w:r>
            <w:r w:rsidRPr="006C6D7A">
              <w:t xml:space="preserve"> </w:t>
            </w:r>
          </w:p>
        </w:tc>
        <w:tc>
          <w:tcPr>
            <w:tcW w:w="3438" w:type="dxa"/>
            <w:gridSpan w:val="2"/>
            <w:tcBorders>
              <w:top w:val="single" w:sz="4" w:space="0" w:color="auto"/>
              <w:left w:val="nil"/>
              <w:bottom w:val="single" w:sz="4" w:space="0" w:color="auto"/>
              <w:right w:val="single" w:sz="4" w:space="0" w:color="auto"/>
            </w:tcBorders>
            <w:shd w:val="clear" w:color="auto" w:fill="F8ECEC"/>
            <w:hideMark/>
          </w:tcPr>
          <w:p w:rsidR="00410AC4" w:rsidRPr="006C6D7A" w:rsidRDefault="00410AC4" w:rsidP="000F7FA8">
            <w:r w:rsidRPr="006C6D7A">
              <w:t>2012 Endocrine Society Guidelines</w:t>
            </w:r>
            <w:r w:rsidRPr="006C6D7A">
              <w:rPr>
                <w:vertAlign w:val="superscript"/>
              </w:rPr>
              <w:t>1</w:t>
            </w:r>
            <w:r w:rsidRPr="006C6D7A">
              <w:t xml:space="preserve"> </w:t>
            </w:r>
          </w:p>
        </w:tc>
      </w:tr>
      <w:tr w:rsidR="00410AC4" w:rsidRPr="006C6D7A" w:rsidTr="006D52E0">
        <w:tc>
          <w:tcPr>
            <w:tcW w:w="2096" w:type="dxa"/>
            <w:tcBorders>
              <w:top w:val="single" w:sz="4" w:space="0" w:color="auto"/>
              <w:left w:val="single" w:sz="4" w:space="0" w:color="auto"/>
              <w:bottom w:val="single" w:sz="4" w:space="0" w:color="auto"/>
              <w:right w:val="nil"/>
            </w:tcBorders>
            <w:shd w:val="clear" w:color="auto" w:fill="F8ECEC"/>
            <w:hideMark/>
          </w:tcPr>
          <w:p w:rsidR="00410AC4" w:rsidRPr="006C6D7A" w:rsidRDefault="00410AC4" w:rsidP="000F7FA8">
            <w:r w:rsidRPr="006C6D7A">
              <w:t>Category</w:t>
            </w:r>
          </w:p>
        </w:tc>
        <w:tc>
          <w:tcPr>
            <w:tcW w:w="1162" w:type="dxa"/>
            <w:tcBorders>
              <w:top w:val="single" w:sz="4" w:space="0" w:color="auto"/>
              <w:left w:val="nil"/>
              <w:bottom w:val="single" w:sz="4" w:space="0" w:color="auto"/>
              <w:right w:val="nil"/>
            </w:tcBorders>
            <w:shd w:val="clear" w:color="auto" w:fill="F8ECEC"/>
            <w:hideMark/>
          </w:tcPr>
          <w:p w:rsidR="00410AC4" w:rsidRPr="006C6D7A" w:rsidRDefault="00410AC4" w:rsidP="000F7FA8">
            <w:r w:rsidRPr="006C6D7A">
              <w:t>Plasma TG (mmol/L)*</w:t>
            </w:r>
          </w:p>
        </w:tc>
        <w:tc>
          <w:tcPr>
            <w:tcW w:w="1440" w:type="dxa"/>
            <w:tcBorders>
              <w:top w:val="single" w:sz="4" w:space="0" w:color="auto"/>
              <w:left w:val="nil"/>
              <w:bottom w:val="single" w:sz="4" w:space="0" w:color="auto"/>
              <w:right w:val="nil"/>
            </w:tcBorders>
            <w:shd w:val="clear" w:color="auto" w:fill="F8ECEC"/>
            <w:hideMark/>
          </w:tcPr>
          <w:p w:rsidR="00410AC4" w:rsidRPr="006C6D7A" w:rsidRDefault="00410AC4" w:rsidP="000F7FA8">
            <w:r w:rsidRPr="006C6D7A">
              <w:t>Category</w:t>
            </w:r>
          </w:p>
        </w:tc>
        <w:tc>
          <w:tcPr>
            <w:tcW w:w="1470" w:type="dxa"/>
            <w:tcBorders>
              <w:top w:val="single" w:sz="4" w:space="0" w:color="auto"/>
              <w:left w:val="nil"/>
              <w:bottom w:val="single" w:sz="4" w:space="0" w:color="auto"/>
              <w:right w:val="nil"/>
            </w:tcBorders>
            <w:shd w:val="clear" w:color="auto" w:fill="F8ECEC"/>
            <w:hideMark/>
          </w:tcPr>
          <w:p w:rsidR="00410AC4" w:rsidRPr="006C6D7A" w:rsidRDefault="00410AC4" w:rsidP="000F7FA8">
            <w:r w:rsidRPr="006C6D7A">
              <w:t>Plasma TG (mmol/L)*</w:t>
            </w:r>
          </w:p>
        </w:tc>
        <w:tc>
          <w:tcPr>
            <w:tcW w:w="1378" w:type="dxa"/>
            <w:tcBorders>
              <w:top w:val="single" w:sz="4" w:space="0" w:color="auto"/>
              <w:left w:val="nil"/>
              <w:bottom w:val="single" w:sz="4" w:space="0" w:color="auto"/>
              <w:right w:val="nil"/>
            </w:tcBorders>
            <w:shd w:val="clear" w:color="auto" w:fill="F8ECEC"/>
            <w:hideMark/>
          </w:tcPr>
          <w:p w:rsidR="00410AC4" w:rsidRPr="006C6D7A" w:rsidRDefault="00410AC4" w:rsidP="000F7FA8">
            <w:r w:rsidRPr="006C6D7A">
              <w:t>Category</w:t>
            </w:r>
          </w:p>
        </w:tc>
        <w:tc>
          <w:tcPr>
            <w:tcW w:w="2060" w:type="dxa"/>
            <w:tcBorders>
              <w:top w:val="single" w:sz="4" w:space="0" w:color="auto"/>
              <w:left w:val="nil"/>
              <w:bottom w:val="single" w:sz="4" w:space="0" w:color="auto"/>
              <w:right w:val="single" w:sz="4" w:space="0" w:color="auto"/>
            </w:tcBorders>
            <w:shd w:val="clear" w:color="auto" w:fill="F8ECEC"/>
            <w:hideMark/>
          </w:tcPr>
          <w:p w:rsidR="00410AC4" w:rsidRPr="006C6D7A" w:rsidRDefault="00410AC4" w:rsidP="000F7FA8">
            <w:r w:rsidRPr="006C6D7A">
              <w:t>Plasma TG (mmol/L)*</w:t>
            </w:r>
          </w:p>
        </w:tc>
      </w:tr>
      <w:tr w:rsidR="00410AC4" w:rsidRPr="006C6D7A" w:rsidTr="006D52E0">
        <w:tc>
          <w:tcPr>
            <w:tcW w:w="2096" w:type="dxa"/>
            <w:tcBorders>
              <w:top w:val="single" w:sz="4" w:space="0" w:color="auto"/>
              <w:left w:val="single" w:sz="4" w:space="0" w:color="auto"/>
              <w:bottom w:val="nil"/>
              <w:right w:val="nil"/>
            </w:tcBorders>
            <w:shd w:val="clear" w:color="auto" w:fill="F8ECEC"/>
            <w:hideMark/>
          </w:tcPr>
          <w:p w:rsidR="00410AC4" w:rsidRPr="006C6D7A" w:rsidRDefault="00410AC4" w:rsidP="000F7FA8">
            <w:r w:rsidRPr="006C6D7A">
              <w:t>Normal</w:t>
            </w:r>
          </w:p>
        </w:tc>
        <w:tc>
          <w:tcPr>
            <w:tcW w:w="1162" w:type="dxa"/>
            <w:tcBorders>
              <w:top w:val="single" w:sz="4" w:space="0" w:color="auto"/>
              <w:left w:val="nil"/>
              <w:bottom w:val="nil"/>
              <w:right w:val="nil"/>
            </w:tcBorders>
            <w:shd w:val="clear" w:color="auto" w:fill="F8ECEC"/>
            <w:hideMark/>
          </w:tcPr>
          <w:p w:rsidR="00410AC4" w:rsidRPr="006C6D7A" w:rsidRDefault="00410AC4" w:rsidP="000F7FA8">
            <w:r w:rsidRPr="006C6D7A">
              <w:t>&lt;1</w:t>
            </w:r>
            <w:r>
              <w:t>·</w:t>
            </w:r>
            <w:r w:rsidRPr="006C6D7A">
              <w:t xml:space="preserve">7 </w:t>
            </w:r>
          </w:p>
        </w:tc>
        <w:tc>
          <w:tcPr>
            <w:tcW w:w="1440" w:type="dxa"/>
            <w:tcBorders>
              <w:top w:val="single" w:sz="4" w:space="0" w:color="auto"/>
              <w:left w:val="nil"/>
              <w:bottom w:val="nil"/>
              <w:right w:val="nil"/>
            </w:tcBorders>
            <w:shd w:val="clear" w:color="auto" w:fill="F8ECEC"/>
            <w:hideMark/>
          </w:tcPr>
          <w:p w:rsidR="00410AC4" w:rsidRPr="006C6D7A" w:rsidRDefault="00410AC4" w:rsidP="000F7FA8">
            <w:r w:rsidRPr="006C6D7A">
              <w:t>Normal</w:t>
            </w:r>
          </w:p>
        </w:tc>
        <w:tc>
          <w:tcPr>
            <w:tcW w:w="1470" w:type="dxa"/>
            <w:tcBorders>
              <w:top w:val="single" w:sz="4" w:space="0" w:color="auto"/>
              <w:left w:val="nil"/>
              <w:bottom w:val="nil"/>
              <w:right w:val="nil"/>
            </w:tcBorders>
            <w:shd w:val="clear" w:color="auto" w:fill="F8ECEC"/>
            <w:hideMark/>
          </w:tcPr>
          <w:p w:rsidR="00410AC4" w:rsidRPr="006C6D7A" w:rsidRDefault="00410AC4" w:rsidP="000F7FA8">
            <w:r w:rsidRPr="006C6D7A">
              <w:t>&lt;1</w:t>
            </w:r>
            <w:r>
              <w:t>·</w:t>
            </w:r>
            <w:r w:rsidRPr="006C6D7A">
              <w:t>7</w:t>
            </w:r>
          </w:p>
        </w:tc>
        <w:tc>
          <w:tcPr>
            <w:tcW w:w="1378" w:type="dxa"/>
            <w:tcBorders>
              <w:top w:val="single" w:sz="4" w:space="0" w:color="auto"/>
              <w:left w:val="nil"/>
              <w:bottom w:val="nil"/>
              <w:right w:val="nil"/>
            </w:tcBorders>
            <w:shd w:val="clear" w:color="auto" w:fill="F8ECEC"/>
            <w:hideMark/>
          </w:tcPr>
          <w:p w:rsidR="00410AC4" w:rsidRPr="006C6D7A" w:rsidRDefault="00410AC4" w:rsidP="000F7FA8">
            <w:r w:rsidRPr="006C6D7A">
              <w:t>Normal</w:t>
            </w:r>
          </w:p>
        </w:tc>
        <w:tc>
          <w:tcPr>
            <w:tcW w:w="2060" w:type="dxa"/>
            <w:tcBorders>
              <w:top w:val="single" w:sz="4" w:space="0" w:color="auto"/>
              <w:left w:val="nil"/>
              <w:bottom w:val="nil"/>
              <w:right w:val="single" w:sz="4" w:space="0" w:color="auto"/>
            </w:tcBorders>
            <w:shd w:val="clear" w:color="auto" w:fill="F8ECEC"/>
            <w:hideMark/>
          </w:tcPr>
          <w:p w:rsidR="00410AC4" w:rsidRPr="006C6D7A" w:rsidRDefault="00410AC4" w:rsidP="000F7FA8">
            <w:r w:rsidRPr="006C6D7A">
              <w:t>&lt;1</w:t>
            </w:r>
            <w:r>
              <w:t>·</w:t>
            </w:r>
            <w:r w:rsidRPr="006C6D7A">
              <w:t>7</w:t>
            </w:r>
          </w:p>
        </w:tc>
      </w:tr>
      <w:tr w:rsidR="00410AC4" w:rsidRPr="006C6D7A" w:rsidTr="006D52E0">
        <w:tc>
          <w:tcPr>
            <w:tcW w:w="2096" w:type="dxa"/>
            <w:vMerge w:val="restart"/>
            <w:tcBorders>
              <w:left w:val="single" w:sz="4" w:space="0" w:color="auto"/>
            </w:tcBorders>
            <w:shd w:val="clear" w:color="auto" w:fill="F8ECEC"/>
            <w:hideMark/>
          </w:tcPr>
          <w:p w:rsidR="00410AC4" w:rsidRPr="006C6D7A" w:rsidRDefault="00410AC4" w:rsidP="000F7FA8">
            <w:r w:rsidRPr="006C6D7A">
              <w:t>Hypertriglycerid</w:t>
            </w:r>
            <w:r>
              <w:t>aemia</w:t>
            </w:r>
          </w:p>
        </w:tc>
        <w:tc>
          <w:tcPr>
            <w:tcW w:w="1162" w:type="dxa"/>
            <w:vMerge w:val="restart"/>
            <w:shd w:val="clear" w:color="auto" w:fill="F8ECEC"/>
            <w:hideMark/>
          </w:tcPr>
          <w:p w:rsidR="00410AC4" w:rsidRPr="006C6D7A" w:rsidRDefault="00410AC4" w:rsidP="000F7FA8">
            <w:r w:rsidRPr="006C6D7A">
              <w:t>1</w:t>
            </w:r>
            <w:r>
              <w:t>·</w:t>
            </w:r>
            <w:r w:rsidRPr="006C6D7A">
              <w:t>7 - 9</w:t>
            </w:r>
            <w:r>
              <w:t>·</w:t>
            </w:r>
            <w:r w:rsidRPr="006C6D7A">
              <w:t>9</w:t>
            </w:r>
          </w:p>
        </w:tc>
        <w:tc>
          <w:tcPr>
            <w:tcW w:w="1440" w:type="dxa"/>
            <w:vMerge w:val="restart"/>
            <w:shd w:val="clear" w:color="auto" w:fill="F8ECEC"/>
            <w:hideMark/>
          </w:tcPr>
          <w:p w:rsidR="00410AC4" w:rsidRPr="006C6D7A" w:rsidRDefault="00410AC4" w:rsidP="000F7FA8">
            <w:r w:rsidRPr="006C6D7A">
              <w:t>Borderline High</w:t>
            </w:r>
          </w:p>
        </w:tc>
        <w:tc>
          <w:tcPr>
            <w:tcW w:w="1470" w:type="dxa"/>
            <w:vMerge w:val="restart"/>
            <w:shd w:val="clear" w:color="auto" w:fill="F8ECEC"/>
            <w:hideMark/>
          </w:tcPr>
          <w:p w:rsidR="00410AC4" w:rsidRPr="006C6D7A" w:rsidRDefault="00410AC4" w:rsidP="000F7FA8">
            <w:r w:rsidRPr="006C6D7A">
              <w:t>1</w:t>
            </w:r>
            <w:r>
              <w:t>·</w:t>
            </w:r>
            <w:r w:rsidRPr="006C6D7A">
              <w:t>7 - 2</w:t>
            </w:r>
            <w:r>
              <w:t>·</w:t>
            </w:r>
            <w:r w:rsidRPr="006C6D7A">
              <w:t>3</w:t>
            </w:r>
          </w:p>
        </w:tc>
        <w:tc>
          <w:tcPr>
            <w:tcW w:w="1378" w:type="dxa"/>
            <w:shd w:val="clear" w:color="auto" w:fill="F8ECEC"/>
            <w:hideMark/>
          </w:tcPr>
          <w:p w:rsidR="00410AC4" w:rsidRPr="006C6D7A" w:rsidRDefault="00410AC4" w:rsidP="000F7FA8">
            <w:r w:rsidRPr="006C6D7A">
              <w:t>Mild</w:t>
            </w:r>
          </w:p>
        </w:tc>
        <w:tc>
          <w:tcPr>
            <w:tcW w:w="2060" w:type="dxa"/>
            <w:tcBorders>
              <w:right w:val="single" w:sz="4" w:space="0" w:color="auto"/>
            </w:tcBorders>
            <w:shd w:val="clear" w:color="auto" w:fill="F8ECEC"/>
            <w:hideMark/>
          </w:tcPr>
          <w:p w:rsidR="00410AC4" w:rsidRPr="006C6D7A" w:rsidRDefault="00410AC4" w:rsidP="000F7FA8">
            <w:r w:rsidRPr="006C6D7A">
              <w:t>1</w:t>
            </w:r>
            <w:r>
              <w:t>·</w:t>
            </w:r>
            <w:r w:rsidRPr="006C6D7A">
              <w:t>7 - 2</w:t>
            </w:r>
            <w:r>
              <w:t>·</w:t>
            </w:r>
            <w:r w:rsidRPr="006C6D7A">
              <w:t>3</w:t>
            </w:r>
          </w:p>
        </w:tc>
      </w:tr>
      <w:tr w:rsidR="00410AC4" w:rsidRPr="006C6D7A" w:rsidTr="006D52E0">
        <w:tc>
          <w:tcPr>
            <w:tcW w:w="0" w:type="auto"/>
            <w:vMerge/>
            <w:tcBorders>
              <w:left w:val="single" w:sz="4" w:space="0" w:color="auto"/>
            </w:tcBorders>
            <w:shd w:val="clear" w:color="auto" w:fill="F8ECEC"/>
            <w:vAlign w:val="center"/>
            <w:hideMark/>
          </w:tcPr>
          <w:p w:rsidR="00410AC4" w:rsidRPr="006C6D7A" w:rsidRDefault="00410AC4" w:rsidP="000F7FA8">
            <w:pPr>
              <w:spacing w:after="0"/>
            </w:pPr>
          </w:p>
        </w:tc>
        <w:tc>
          <w:tcPr>
            <w:tcW w:w="0" w:type="auto"/>
            <w:vMerge/>
            <w:shd w:val="clear" w:color="auto" w:fill="F8ECEC"/>
            <w:vAlign w:val="center"/>
            <w:hideMark/>
          </w:tcPr>
          <w:p w:rsidR="00410AC4" w:rsidRPr="006C6D7A" w:rsidRDefault="00410AC4" w:rsidP="000F7FA8">
            <w:pPr>
              <w:spacing w:after="0"/>
            </w:pPr>
          </w:p>
        </w:tc>
        <w:tc>
          <w:tcPr>
            <w:tcW w:w="0" w:type="auto"/>
            <w:vMerge/>
            <w:shd w:val="clear" w:color="auto" w:fill="F8ECEC"/>
            <w:vAlign w:val="center"/>
            <w:hideMark/>
          </w:tcPr>
          <w:p w:rsidR="00410AC4" w:rsidRPr="006C6D7A" w:rsidRDefault="00410AC4" w:rsidP="000F7FA8">
            <w:pPr>
              <w:spacing w:after="0"/>
            </w:pPr>
          </w:p>
        </w:tc>
        <w:tc>
          <w:tcPr>
            <w:tcW w:w="0" w:type="auto"/>
            <w:vMerge/>
            <w:shd w:val="clear" w:color="auto" w:fill="F8ECEC"/>
            <w:vAlign w:val="center"/>
            <w:hideMark/>
          </w:tcPr>
          <w:p w:rsidR="00410AC4" w:rsidRPr="006C6D7A" w:rsidRDefault="00410AC4" w:rsidP="000F7FA8">
            <w:pPr>
              <w:spacing w:after="0"/>
            </w:pPr>
          </w:p>
        </w:tc>
        <w:tc>
          <w:tcPr>
            <w:tcW w:w="1378" w:type="dxa"/>
            <w:shd w:val="clear" w:color="auto" w:fill="F8ECEC"/>
            <w:hideMark/>
          </w:tcPr>
          <w:p w:rsidR="00410AC4" w:rsidRPr="006C6D7A" w:rsidRDefault="00410AC4" w:rsidP="000F7FA8">
            <w:r w:rsidRPr="006C6D7A">
              <w:t>Moderate</w:t>
            </w:r>
          </w:p>
        </w:tc>
        <w:tc>
          <w:tcPr>
            <w:tcW w:w="2060" w:type="dxa"/>
            <w:tcBorders>
              <w:right w:val="single" w:sz="4" w:space="0" w:color="auto"/>
            </w:tcBorders>
            <w:shd w:val="clear" w:color="auto" w:fill="F8ECEC"/>
            <w:hideMark/>
          </w:tcPr>
          <w:p w:rsidR="00410AC4" w:rsidRPr="006C6D7A" w:rsidRDefault="00410AC4" w:rsidP="000F7FA8">
            <w:r w:rsidRPr="006C6D7A">
              <w:t>2</w:t>
            </w:r>
            <w:r>
              <w:t>·</w:t>
            </w:r>
            <w:r w:rsidRPr="006C6D7A">
              <w:t>3 - 11</w:t>
            </w:r>
            <w:r>
              <w:t>·</w:t>
            </w:r>
            <w:r w:rsidRPr="006C6D7A">
              <w:t>2</w:t>
            </w:r>
          </w:p>
        </w:tc>
      </w:tr>
      <w:tr w:rsidR="00410AC4" w:rsidRPr="006C6D7A" w:rsidTr="006D52E0">
        <w:tc>
          <w:tcPr>
            <w:tcW w:w="2096" w:type="dxa"/>
            <w:vMerge w:val="restart"/>
            <w:tcBorders>
              <w:top w:val="nil"/>
              <w:left w:val="single" w:sz="4" w:space="0" w:color="auto"/>
              <w:bottom w:val="single" w:sz="4" w:space="0" w:color="auto"/>
              <w:right w:val="nil"/>
            </w:tcBorders>
            <w:shd w:val="clear" w:color="auto" w:fill="F8ECEC"/>
            <w:hideMark/>
          </w:tcPr>
          <w:p w:rsidR="00410AC4" w:rsidRPr="006C6D7A" w:rsidRDefault="00410AC4" w:rsidP="000F7FA8">
            <w:r w:rsidRPr="006C6D7A">
              <w:t>Severe hypertriglycerid</w:t>
            </w:r>
            <w:r>
              <w:t>aemia</w:t>
            </w:r>
          </w:p>
        </w:tc>
        <w:tc>
          <w:tcPr>
            <w:tcW w:w="1162" w:type="dxa"/>
            <w:vMerge w:val="restart"/>
            <w:tcBorders>
              <w:top w:val="nil"/>
              <w:left w:val="nil"/>
              <w:bottom w:val="single" w:sz="4" w:space="0" w:color="auto"/>
              <w:right w:val="nil"/>
            </w:tcBorders>
            <w:shd w:val="clear" w:color="auto" w:fill="F8ECEC"/>
            <w:hideMark/>
          </w:tcPr>
          <w:p w:rsidR="00410AC4" w:rsidRPr="006C6D7A" w:rsidRDefault="00410AC4" w:rsidP="000F7FA8">
            <w:r w:rsidRPr="006C6D7A">
              <w:t xml:space="preserve">&gt;10 </w:t>
            </w:r>
          </w:p>
        </w:tc>
        <w:tc>
          <w:tcPr>
            <w:tcW w:w="1440" w:type="dxa"/>
            <w:shd w:val="clear" w:color="auto" w:fill="F8ECEC"/>
            <w:hideMark/>
          </w:tcPr>
          <w:p w:rsidR="00410AC4" w:rsidRPr="006C6D7A" w:rsidRDefault="00410AC4" w:rsidP="000F7FA8">
            <w:r w:rsidRPr="006C6D7A">
              <w:t>High</w:t>
            </w:r>
          </w:p>
        </w:tc>
        <w:tc>
          <w:tcPr>
            <w:tcW w:w="1470" w:type="dxa"/>
            <w:shd w:val="clear" w:color="auto" w:fill="F8ECEC"/>
            <w:hideMark/>
          </w:tcPr>
          <w:p w:rsidR="00410AC4" w:rsidRPr="006C6D7A" w:rsidRDefault="00410AC4" w:rsidP="000F7FA8">
            <w:r w:rsidRPr="006C6D7A">
              <w:t>2</w:t>
            </w:r>
            <w:r>
              <w:t>·</w:t>
            </w:r>
            <w:r w:rsidRPr="006C6D7A">
              <w:t>3 - 5</w:t>
            </w:r>
            <w:r>
              <w:t>·</w:t>
            </w:r>
            <w:r w:rsidRPr="006C6D7A">
              <w:t>6</w:t>
            </w:r>
          </w:p>
        </w:tc>
        <w:tc>
          <w:tcPr>
            <w:tcW w:w="1378" w:type="dxa"/>
            <w:shd w:val="clear" w:color="auto" w:fill="F8ECEC"/>
            <w:hideMark/>
          </w:tcPr>
          <w:p w:rsidR="00410AC4" w:rsidRPr="006C6D7A" w:rsidRDefault="00410AC4" w:rsidP="000F7FA8">
            <w:r w:rsidRPr="006C6D7A">
              <w:t>Severe</w:t>
            </w:r>
          </w:p>
        </w:tc>
        <w:tc>
          <w:tcPr>
            <w:tcW w:w="2060" w:type="dxa"/>
            <w:tcBorders>
              <w:right w:val="single" w:sz="4" w:space="0" w:color="auto"/>
            </w:tcBorders>
            <w:shd w:val="clear" w:color="auto" w:fill="F8ECEC"/>
            <w:hideMark/>
          </w:tcPr>
          <w:p w:rsidR="00410AC4" w:rsidRPr="006C6D7A" w:rsidRDefault="00410AC4" w:rsidP="000F7FA8">
            <w:r w:rsidRPr="006C6D7A">
              <w:t>11</w:t>
            </w:r>
            <w:r>
              <w:t>·</w:t>
            </w:r>
            <w:r w:rsidRPr="006C6D7A">
              <w:t>2 - 22</w:t>
            </w:r>
            <w:r>
              <w:t>·</w:t>
            </w:r>
            <w:r w:rsidRPr="006C6D7A">
              <w:t>4</w:t>
            </w:r>
          </w:p>
        </w:tc>
      </w:tr>
      <w:tr w:rsidR="00410AC4" w:rsidRPr="006C6D7A" w:rsidTr="006D52E0">
        <w:tc>
          <w:tcPr>
            <w:tcW w:w="0" w:type="auto"/>
            <w:vMerge/>
            <w:tcBorders>
              <w:top w:val="nil"/>
              <w:left w:val="single" w:sz="4" w:space="0" w:color="auto"/>
              <w:bottom w:val="single" w:sz="4" w:space="0" w:color="auto"/>
              <w:right w:val="nil"/>
            </w:tcBorders>
            <w:shd w:val="clear" w:color="auto" w:fill="F8ECEC"/>
            <w:vAlign w:val="center"/>
            <w:hideMark/>
          </w:tcPr>
          <w:p w:rsidR="00410AC4" w:rsidRPr="006C6D7A" w:rsidRDefault="00410AC4" w:rsidP="000F7FA8">
            <w:pPr>
              <w:spacing w:after="0"/>
            </w:pPr>
          </w:p>
        </w:tc>
        <w:tc>
          <w:tcPr>
            <w:tcW w:w="0" w:type="auto"/>
            <w:vMerge/>
            <w:tcBorders>
              <w:top w:val="nil"/>
              <w:left w:val="nil"/>
              <w:bottom w:val="single" w:sz="4" w:space="0" w:color="auto"/>
              <w:right w:val="nil"/>
            </w:tcBorders>
            <w:shd w:val="clear" w:color="auto" w:fill="F8ECEC"/>
            <w:vAlign w:val="center"/>
            <w:hideMark/>
          </w:tcPr>
          <w:p w:rsidR="00410AC4" w:rsidRPr="006C6D7A" w:rsidRDefault="00410AC4" w:rsidP="000F7FA8">
            <w:pPr>
              <w:spacing w:after="0"/>
            </w:pPr>
          </w:p>
        </w:tc>
        <w:tc>
          <w:tcPr>
            <w:tcW w:w="1440" w:type="dxa"/>
            <w:tcBorders>
              <w:top w:val="nil"/>
              <w:left w:val="nil"/>
              <w:bottom w:val="single" w:sz="4" w:space="0" w:color="auto"/>
              <w:right w:val="nil"/>
            </w:tcBorders>
            <w:shd w:val="clear" w:color="auto" w:fill="F8ECEC"/>
            <w:hideMark/>
          </w:tcPr>
          <w:p w:rsidR="00410AC4" w:rsidRPr="006C6D7A" w:rsidRDefault="00410AC4" w:rsidP="000F7FA8">
            <w:r w:rsidRPr="006C6D7A">
              <w:t>Very high</w:t>
            </w:r>
          </w:p>
        </w:tc>
        <w:tc>
          <w:tcPr>
            <w:tcW w:w="1470" w:type="dxa"/>
            <w:tcBorders>
              <w:top w:val="nil"/>
              <w:left w:val="nil"/>
              <w:bottom w:val="single" w:sz="4" w:space="0" w:color="auto"/>
              <w:right w:val="nil"/>
            </w:tcBorders>
            <w:shd w:val="clear" w:color="auto" w:fill="F8ECEC"/>
            <w:hideMark/>
          </w:tcPr>
          <w:p w:rsidR="00410AC4" w:rsidRPr="006C6D7A" w:rsidRDefault="00410AC4" w:rsidP="000F7FA8">
            <w:r w:rsidRPr="006C6D7A">
              <w:t>&gt;5</w:t>
            </w:r>
            <w:r>
              <w:t>·</w:t>
            </w:r>
            <w:r w:rsidRPr="006C6D7A">
              <w:t>6</w:t>
            </w:r>
          </w:p>
        </w:tc>
        <w:tc>
          <w:tcPr>
            <w:tcW w:w="1378" w:type="dxa"/>
            <w:tcBorders>
              <w:top w:val="nil"/>
              <w:left w:val="nil"/>
              <w:bottom w:val="single" w:sz="4" w:space="0" w:color="auto"/>
              <w:right w:val="nil"/>
            </w:tcBorders>
            <w:shd w:val="clear" w:color="auto" w:fill="F8ECEC"/>
            <w:hideMark/>
          </w:tcPr>
          <w:p w:rsidR="00410AC4" w:rsidRPr="006C6D7A" w:rsidRDefault="00410AC4" w:rsidP="000F7FA8">
            <w:r w:rsidRPr="006C6D7A">
              <w:t>Very severe</w:t>
            </w:r>
          </w:p>
        </w:tc>
        <w:tc>
          <w:tcPr>
            <w:tcW w:w="2060" w:type="dxa"/>
            <w:tcBorders>
              <w:top w:val="nil"/>
              <w:left w:val="nil"/>
              <w:bottom w:val="single" w:sz="4" w:space="0" w:color="auto"/>
              <w:right w:val="single" w:sz="4" w:space="0" w:color="auto"/>
            </w:tcBorders>
            <w:shd w:val="clear" w:color="auto" w:fill="F8ECEC"/>
            <w:hideMark/>
          </w:tcPr>
          <w:p w:rsidR="00410AC4" w:rsidRPr="006C6D7A" w:rsidRDefault="00410AC4" w:rsidP="000F7FA8">
            <w:r w:rsidRPr="006C6D7A">
              <w:t>&gt;22</w:t>
            </w:r>
            <w:r>
              <w:t>·</w:t>
            </w:r>
            <w:r w:rsidRPr="006C6D7A">
              <w:t>4</w:t>
            </w:r>
          </w:p>
        </w:tc>
      </w:tr>
    </w:tbl>
    <w:p w:rsidR="00410AC4" w:rsidRDefault="00410AC4" w:rsidP="00410AC4">
      <w:pPr>
        <w:spacing w:after="0"/>
        <w:rPr>
          <w:rFonts w:cs="Calibri"/>
          <w:sz w:val="20"/>
          <w:szCs w:val="20"/>
        </w:rPr>
      </w:pPr>
      <w:r w:rsidRPr="006C6D7A">
        <w:rPr>
          <w:rFonts w:cs="Calibri"/>
          <w:sz w:val="20"/>
          <w:szCs w:val="20"/>
        </w:rPr>
        <w:t>Abbreviations</w:t>
      </w:r>
      <w:r>
        <w:rPr>
          <w:rFonts w:cs="Calibri"/>
          <w:sz w:val="20"/>
          <w:szCs w:val="20"/>
        </w:rPr>
        <w:t xml:space="preserve">: </w:t>
      </w:r>
      <w:r w:rsidRPr="006C6D7A">
        <w:rPr>
          <w:rFonts w:cs="Calibri"/>
          <w:sz w:val="20"/>
          <w:szCs w:val="20"/>
        </w:rPr>
        <w:t>EAS European Atherosclerosis Society; ESC European Society of Cardiology; NCEP ATP III National Cholesterol Education Program Adult Treatment Panel III; TG triglyceride.</w:t>
      </w:r>
      <w:r>
        <w:rPr>
          <w:rFonts w:cs="Calibri"/>
          <w:sz w:val="20"/>
          <w:szCs w:val="20"/>
        </w:rPr>
        <w:t xml:space="preserve"> </w:t>
      </w:r>
    </w:p>
    <w:p w:rsidR="00410AC4" w:rsidRPr="001C0920" w:rsidRDefault="00410AC4" w:rsidP="00410AC4">
      <w:pPr>
        <w:spacing w:after="0"/>
        <w:rPr>
          <w:rFonts w:cs="Calibri"/>
          <w:b/>
          <w:noProof/>
        </w:rPr>
      </w:pPr>
      <w:r w:rsidRPr="006C6D7A">
        <w:rPr>
          <w:rFonts w:cs="Calibri"/>
          <w:sz w:val="20"/>
          <w:szCs w:val="20"/>
        </w:rPr>
        <w:t>* To convert from mmol/L to mg/dL multiply by 88</w:t>
      </w:r>
      <w:r>
        <w:rPr>
          <w:rFonts w:cs="Calibri"/>
          <w:sz w:val="20"/>
          <w:szCs w:val="20"/>
        </w:rPr>
        <w:t>·</w:t>
      </w:r>
      <w:r w:rsidRPr="006C6D7A">
        <w:rPr>
          <w:rFonts w:cs="Calibri"/>
          <w:sz w:val="20"/>
          <w:szCs w:val="20"/>
        </w:rPr>
        <w:t>5</w:t>
      </w:r>
    </w:p>
    <w:p w:rsidR="00BF57A9" w:rsidRDefault="00BF57A9" w:rsidP="00A70A16">
      <w:pPr>
        <w:spacing w:after="0"/>
        <w:rPr>
          <w:rFonts w:cs="Calibri"/>
          <w:b/>
          <w:color w:val="C00000"/>
          <w:sz w:val="24"/>
          <w:szCs w:val="24"/>
        </w:rPr>
        <w:sectPr w:rsidR="00BF57A9" w:rsidSect="00A25FE8">
          <w:type w:val="continuous"/>
          <w:pgSz w:w="12240" w:h="15840"/>
          <w:pgMar w:top="1440" w:right="1440" w:bottom="1440" w:left="1440" w:header="708" w:footer="708" w:gutter="0"/>
          <w:cols w:space="708"/>
          <w:docGrid w:linePitch="360"/>
        </w:sectPr>
      </w:pPr>
    </w:p>
    <w:p w:rsidR="00F16509" w:rsidRPr="00A70A16" w:rsidRDefault="00F16509" w:rsidP="00A70A16">
      <w:pPr>
        <w:spacing w:after="0"/>
        <w:rPr>
          <w:rFonts w:cs="Calibri"/>
          <w:b/>
          <w:color w:val="C00000"/>
          <w:sz w:val="24"/>
          <w:szCs w:val="24"/>
        </w:rPr>
      </w:pPr>
      <w:r w:rsidRPr="00A70A16">
        <w:rPr>
          <w:rFonts w:cs="Calibri"/>
          <w:b/>
          <w:color w:val="C00000"/>
          <w:sz w:val="24"/>
          <w:szCs w:val="24"/>
        </w:rPr>
        <w:lastRenderedPageBreak/>
        <w:t>Measurement considerations</w:t>
      </w:r>
    </w:p>
    <w:p w:rsidR="00F16509" w:rsidRDefault="00F16509" w:rsidP="00A70A16">
      <w:pPr>
        <w:spacing w:after="0"/>
        <w:rPr>
          <w:rFonts w:cs="Calibri"/>
        </w:rPr>
      </w:pPr>
      <w:r w:rsidRPr="0054379A">
        <w:rPr>
          <w:rFonts w:cs="Calibri"/>
        </w:rPr>
        <w:t xml:space="preserve">In most countries, elevated TG is determined by direct laboratory analysis of plasma (usually) or serum after a 10- to 12-hour fasting period. </w:t>
      </w:r>
      <w:r w:rsidRPr="0054379A">
        <w:rPr>
          <w:rFonts w:eastAsia="Calibri" w:cs="Calibri"/>
        </w:rPr>
        <w:t xml:space="preserve">Indeed, clinicians routinely measure plasma TG, </w:t>
      </w:r>
      <w:r w:rsidR="004C5F80">
        <w:rPr>
          <w:rFonts w:eastAsia="Calibri" w:cs="Calibri"/>
        </w:rPr>
        <w:t>since</w:t>
      </w:r>
      <w:r w:rsidRPr="0054379A">
        <w:rPr>
          <w:rFonts w:eastAsia="Calibri" w:cs="Calibri"/>
        </w:rPr>
        <w:t xml:space="preserve"> this is usually required for the Friedewald calculation of low-density lipoprotein (LDL) cholesterol concentration. </w:t>
      </w:r>
      <w:r w:rsidRPr="0054379A">
        <w:rPr>
          <w:rFonts w:cs="Calibri"/>
        </w:rPr>
        <w:t>Modern methods for measuring plasma TG determine the free glycerol level after specific lipase action, which is the sum of the glycerol formed from the TG plus the original free glycerol.  However, the latter value is usually ignored because of its low plasma con</w:t>
      </w:r>
      <w:r>
        <w:rPr>
          <w:rFonts w:cs="Calibri"/>
        </w:rPr>
        <w:t xml:space="preserve">centration. Therefore, </w:t>
      </w:r>
      <w:r w:rsidRPr="0054379A">
        <w:rPr>
          <w:rFonts w:cs="Calibri"/>
        </w:rPr>
        <w:t xml:space="preserve">HTG can be incorrectly diagnosed in rare patients with glycerol kinase deficiency, </w:t>
      </w:r>
      <w:r w:rsidR="004C5F80">
        <w:rPr>
          <w:rFonts w:cs="Calibri"/>
        </w:rPr>
        <w:t>who</w:t>
      </w:r>
      <w:r w:rsidRPr="0054379A">
        <w:rPr>
          <w:rFonts w:cs="Calibri"/>
        </w:rPr>
        <w:t xml:space="preserve"> have high baseline plasma glycerol concentrations</w:t>
      </w:r>
      <w:r>
        <w:rPr>
          <w:rFonts w:cs="Calibri"/>
        </w:rPr>
        <w:t>.</w:t>
      </w:r>
      <w:r w:rsidR="00094F58">
        <w:rPr>
          <w:rFonts w:cs="Calibri"/>
          <w:vertAlign w:val="superscript"/>
        </w:rPr>
        <w:t>8</w:t>
      </w:r>
      <w:r w:rsidRPr="0054379A">
        <w:rPr>
          <w:rFonts w:cs="Calibri"/>
        </w:rPr>
        <w:t xml:space="preserve"> The only procedure that reliably differentiates the specific TG-rich lipoprotein fractions is ultracentrifugation followed by electrophoresis, </w:t>
      </w:r>
      <w:r>
        <w:rPr>
          <w:rFonts w:cs="Calibri"/>
        </w:rPr>
        <w:t>a method that is</w:t>
      </w:r>
      <w:r w:rsidRPr="0054379A">
        <w:rPr>
          <w:rFonts w:cs="Calibri"/>
        </w:rPr>
        <w:t xml:space="preserve"> performed in some speciali</w:t>
      </w:r>
      <w:r>
        <w:rPr>
          <w:rFonts w:cs="Calibri"/>
        </w:rPr>
        <w:t>s</w:t>
      </w:r>
      <w:r w:rsidRPr="0054379A">
        <w:rPr>
          <w:rFonts w:cs="Calibri"/>
        </w:rPr>
        <w:t xml:space="preserve">ed lipid centres. </w:t>
      </w:r>
    </w:p>
    <w:p w:rsidR="00A70A16" w:rsidRDefault="00A70A16" w:rsidP="00A70A16">
      <w:pPr>
        <w:spacing w:after="0"/>
        <w:rPr>
          <w:rFonts w:cs="Calibri"/>
        </w:rPr>
      </w:pPr>
    </w:p>
    <w:p w:rsidR="00F16509" w:rsidRDefault="00F16509" w:rsidP="00A70A16">
      <w:pPr>
        <w:spacing w:after="0"/>
        <w:rPr>
          <w:rFonts w:cs="Calibri"/>
          <w:vertAlign w:val="superscript"/>
        </w:rPr>
      </w:pPr>
      <w:r w:rsidRPr="0054379A">
        <w:rPr>
          <w:rFonts w:cs="Calibri"/>
        </w:rPr>
        <w:t xml:space="preserve">Most humans - certainly in the Western world - are in the nonfasting or postprandial state for most of the </w:t>
      </w:r>
      <w:r w:rsidR="004C5F80">
        <w:rPr>
          <w:rFonts w:cs="Calibri"/>
        </w:rPr>
        <w:t>day</w:t>
      </w:r>
      <w:r w:rsidRPr="0054379A">
        <w:rPr>
          <w:rFonts w:cs="Calibri"/>
        </w:rPr>
        <w:t>. While recent guidelines unequivocally recommend measuring fasting TG concentrations</w:t>
      </w:r>
      <w:r>
        <w:rPr>
          <w:rFonts w:cs="Calibri"/>
        </w:rPr>
        <w:t>,</w:t>
      </w:r>
      <w:r w:rsidRPr="00997DBF">
        <w:rPr>
          <w:rFonts w:cs="Calibri"/>
          <w:vertAlign w:val="superscript"/>
        </w:rPr>
        <w:t>1</w:t>
      </w:r>
      <w:r>
        <w:rPr>
          <w:rFonts w:cs="Calibri"/>
          <w:vertAlign w:val="superscript"/>
        </w:rPr>
        <w:t>–</w:t>
      </w:r>
      <w:r w:rsidRPr="00997DBF">
        <w:rPr>
          <w:rFonts w:cs="Calibri"/>
          <w:vertAlign w:val="superscript"/>
        </w:rPr>
        <w:t>3,5</w:t>
      </w:r>
      <w:r>
        <w:rPr>
          <w:rFonts w:cs="Calibri"/>
          <w:vertAlign w:val="superscript"/>
        </w:rPr>
        <w:t>–</w:t>
      </w:r>
      <w:r w:rsidRPr="00997DBF">
        <w:rPr>
          <w:rFonts w:cs="Calibri"/>
          <w:vertAlign w:val="superscript"/>
        </w:rPr>
        <w:t>7</w:t>
      </w:r>
      <w:r w:rsidRPr="0054379A">
        <w:rPr>
          <w:rFonts w:cs="Calibri"/>
        </w:rPr>
        <w:t xml:space="preserve"> the importance of measuring nonfasting TG and remnant cholesterol is an emerging aspect of CVD risk stratification, since they reflect in part the capacity of the individual to clear postprandial lipids. Recent population studies demonstrate that despite postprandial elevation in TG, quantitative changes in other lipids, lipoproteins</w:t>
      </w:r>
      <w:r>
        <w:rPr>
          <w:rFonts w:cs="Calibri"/>
        </w:rPr>
        <w:t>,</w:t>
      </w:r>
      <w:r w:rsidRPr="0054379A">
        <w:rPr>
          <w:rFonts w:cs="Calibri"/>
        </w:rPr>
        <w:t xml:space="preserve"> and apolipoproteins appear minimal in response to the average meal intake in most individuals</w:t>
      </w:r>
      <w:r>
        <w:rPr>
          <w:rFonts w:cs="Calibri"/>
        </w:rPr>
        <w:t>.</w:t>
      </w:r>
      <w:r w:rsidR="00094F58">
        <w:rPr>
          <w:rFonts w:cs="Calibri"/>
          <w:vertAlign w:val="superscript"/>
        </w:rPr>
        <w:t>9,10</w:t>
      </w:r>
      <w:r w:rsidRPr="0054379A">
        <w:rPr>
          <w:rFonts w:cs="Calibri"/>
        </w:rPr>
        <w:t xml:space="preserve"> </w:t>
      </w:r>
      <w:r>
        <w:rPr>
          <w:rFonts w:cs="Calibri"/>
        </w:rPr>
        <w:t>I</w:t>
      </w:r>
      <w:r w:rsidRPr="00577256">
        <w:rPr>
          <w:rFonts w:cs="Calibri"/>
        </w:rPr>
        <w:t xml:space="preserve">n contrast, </w:t>
      </w:r>
      <w:r>
        <w:rPr>
          <w:rFonts w:cs="Calibri"/>
        </w:rPr>
        <w:t>i</w:t>
      </w:r>
      <w:r w:rsidRPr="0054379A">
        <w:rPr>
          <w:rFonts w:cs="Calibri"/>
        </w:rPr>
        <w:t>n dyslipid</w:t>
      </w:r>
      <w:r>
        <w:rPr>
          <w:rFonts w:cs="Calibri"/>
        </w:rPr>
        <w:t>a</w:t>
      </w:r>
      <w:r w:rsidRPr="0054379A">
        <w:rPr>
          <w:rFonts w:cs="Calibri"/>
        </w:rPr>
        <w:t>emic subjects with or without insulin resistance</w:t>
      </w:r>
      <w:r>
        <w:rPr>
          <w:rFonts w:cs="Calibri"/>
        </w:rPr>
        <w:t>,</w:t>
      </w:r>
      <w:r w:rsidRPr="0054379A">
        <w:rPr>
          <w:rFonts w:cs="Calibri"/>
        </w:rPr>
        <w:t xml:space="preserve"> the postprandial </w:t>
      </w:r>
      <w:r>
        <w:rPr>
          <w:rFonts w:cs="Calibri"/>
        </w:rPr>
        <w:t>area under the curve</w:t>
      </w:r>
      <w:r w:rsidRPr="0054379A">
        <w:rPr>
          <w:rFonts w:cs="Calibri"/>
        </w:rPr>
        <w:t xml:space="preserve"> for TG-rich lipoproteins</w:t>
      </w:r>
      <w:r w:rsidRPr="0054379A" w:rsidDel="00574521">
        <w:rPr>
          <w:rFonts w:cs="Calibri"/>
        </w:rPr>
        <w:t xml:space="preserve"> </w:t>
      </w:r>
      <w:r w:rsidRPr="0054379A">
        <w:rPr>
          <w:rFonts w:cs="Calibri"/>
        </w:rPr>
        <w:t>may be increased up to four</w:t>
      </w:r>
      <w:r>
        <w:rPr>
          <w:rFonts w:cs="Calibri"/>
        </w:rPr>
        <w:t>-</w:t>
      </w:r>
      <w:r w:rsidRPr="0054379A">
        <w:rPr>
          <w:rFonts w:cs="Calibri"/>
        </w:rPr>
        <w:t>fold</w:t>
      </w:r>
      <w:r w:rsidR="004C5F80">
        <w:rPr>
          <w:rFonts w:cs="Calibri"/>
        </w:rPr>
        <w:t xml:space="preserve"> or more</w:t>
      </w:r>
      <w:r w:rsidRPr="0054379A">
        <w:rPr>
          <w:rFonts w:cs="Calibri"/>
        </w:rPr>
        <w:t xml:space="preserve">, with pronounced </w:t>
      </w:r>
      <w:r w:rsidRPr="0054379A">
        <w:rPr>
          <w:rFonts w:cs="Calibri"/>
        </w:rPr>
        <w:lastRenderedPageBreak/>
        <w:t>modification of lipoprotein remode</w:t>
      </w:r>
      <w:r>
        <w:rPr>
          <w:rFonts w:cs="Calibri"/>
        </w:rPr>
        <w:t>l</w:t>
      </w:r>
      <w:r w:rsidRPr="0054379A">
        <w:rPr>
          <w:rFonts w:cs="Calibri"/>
        </w:rPr>
        <w:t>ling, leading to</w:t>
      </w:r>
      <w:r>
        <w:rPr>
          <w:rFonts w:cs="Calibri"/>
        </w:rPr>
        <w:t xml:space="preserve"> an</w:t>
      </w:r>
      <w:r w:rsidRPr="0054379A">
        <w:rPr>
          <w:rFonts w:cs="Calibri"/>
        </w:rPr>
        <w:t xml:space="preserve"> increase in the potentially atherogenic cholesterol load in these particles</w:t>
      </w:r>
      <w:r>
        <w:rPr>
          <w:rFonts w:cs="Calibri"/>
        </w:rPr>
        <w:t>.</w:t>
      </w:r>
      <w:r w:rsidR="00094F58">
        <w:rPr>
          <w:rFonts w:cs="Calibri"/>
          <w:vertAlign w:val="superscript"/>
        </w:rPr>
        <w:t>10</w:t>
      </w:r>
    </w:p>
    <w:p w:rsidR="00A70A16" w:rsidRDefault="00A70A16" w:rsidP="00A70A16">
      <w:pPr>
        <w:spacing w:after="0"/>
        <w:rPr>
          <w:rFonts w:cs="Calibri"/>
        </w:rPr>
      </w:pPr>
    </w:p>
    <w:p w:rsidR="00F16509" w:rsidRDefault="00F16509" w:rsidP="00A70A16">
      <w:pPr>
        <w:spacing w:after="0"/>
        <w:rPr>
          <w:rFonts w:cs="Calibri"/>
        </w:rPr>
      </w:pPr>
      <w:r>
        <w:rPr>
          <w:rFonts w:cs="Calibri"/>
        </w:rPr>
        <w:t>Elevated</w:t>
      </w:r>
      <w:r w:rsidRPr="003074E2">
        <w:rPr>
          <w:rFonts w:cs="Calibri"/>
        </w:rPr>
        <w:t xml:space="preserve"> level</w:t>
      </w:r>
      <w:r>
        <w:rPr>
          <w:rFonts w:cs="Calibri"/>
        </w:rPr>
        <w:t>s of nonfasting TG are also strongly associated</w:t>
      </w:r>
      <w:r w:rsidRPr="003074E2">
        <w:rPr>
          <w:rFonts w:cs="Calibri"/>
        </w:rPr>
        <w:t xml:space="preserve"> with increased risk of myocardial infarction, isch</w:t>
      </w:r>
      <w:r>
        <w:rPr>
          <w:rFonts w:cs="Calibri"/>
        </w:rPr>
        <w:t>a</w:t>
      </w:r>
      <w:r w:rsidRPr="003074E2">
        <w:rPr>
          <w:rFonts w:cs="Calibri"/>
        </w:rPr>
        <w:t>emic stroke, and early death</w:t>
      </w:r>
      <w:r>
        <w:rPr>
          <w:rFonts w:cs="Calibri"/>
        </w:rPr>
        <w:t>.</w:t>
      </w:r>
      <w:r w:rsidR="00094F58">
        <w:rPr>
          <w:rFonts w:cs="Calibri"/>
          <w:vertAlign w:val="superscript"/>
        </w:rPr>
        <w:t>11</w:t>
      </w:r>
      <w:r w:rsidRPr="00997DBF">
        <w:rPr>
          <w:rFonts w:cs="Calibri"/>
          <w:vertAlign w:val="superscript"/>
        </w:rPr>
        <w:t>,</w:t>
      </w:r>
      <w:r w:rsidR="00094F58">
        <w:rPr>
          <w:rFonts w:cs="Calibri"/>
          <w:vertAlign w:val="superscript"/>
        </w:rPr>
        <w:t>1</w:t>
      </w:r>
      <w:r w:rsidRPr="00997DBF">
        <w:rPr>
          <w:rFonts w:cs="Calibri"/>
          <w:vertAlign w:val="superscript"/>
        </w:rPr>
        <w:t>2</w:t>
      </w:r>
      <w:r>
        <w:rPr>
          <w:rFonts w:cs="Calibri"/>
        </w:rPr>
        <w:t xml:space="preserve"> Recent evidence suggests that </w:t>
      </w:r>
      <w:r w:rsidRPr="003074E2">
        <w:rPr>
          <w:rFonts w:cs="Calibri"/>
        </w:rPr>
        <w:t xml:space="preserve">nonfasting </w:t>
      </w:r>
      <w:r>
        <w:rPr>
          <w:rFonts w:cs="Calibri"/>
        </w:rPr>
        <w:t>TG-rich lipoproteins or their remnants are causal factors for ischaemic heart disease and myocardial infarction.</w:t>
      </w:r>
      <w:r w:rsidRPr="00997DBF">
        <w:rPr>
          <w:rFonts w:cs="Calibri"/>
          <w:vertAlign w:val="superscript"/>
        </w:rPr>
        <w:t>1</w:t>
      </w:r>
      <w:r w:rsidR="00094F58">
        <w:rPr>
          <w:rFonts w:cs="Calibri"/>
          <w:vertAlign w:val="superscript"/>
        </w:rPr>
        <w:t>3,1</w:t>
      </w:r>
      <w:r w:rsidRPr="00997DBF">
        <w:rPr>
          <w:rFonts w:cs="Calibri"/>
          <w:vertAlign w:val="superscript"/>
        </w:rPr>
        <w:t>4</w:t>
      </w:r>
      <w:r>
        <w:rPr>
          <w:rFonts w:cs="Calibri"/>
        </w:rPr>
        <w:t xml:space="preserve"> Nonfasting </w:t>
      </w:r>
      <w:r w:rsidRPr="003074E2">
        <w:rPr>
          <w:rFonts w:cs="Calibri"/>
        </w:rPr>
        <w:t xml:space="preserve">levels of total cholesterol, TG, </w:t>
      </w:r>
      <w:r w:rsidR="004C5F80">
        <w:rPr>
          <w:rFonts w:cs="Calibri"/>
        </w:rPr>
        <w:t>high-density lipoprotein (</w:t>
      </w:r>
      <w:r w:rsidRPr="003074E2">
        <w:rPr>
          <w:rFonts w:cs="Calibri"/>
        </w:rPr>
        <w:t>HDL</w:t>
      </w:r>
      <w:r w:rsidR="004C5F80">
        <w:rPr>
          <w:rFonts w:cs="Calibri"/>
        </w:rPr>
        <w:t>)</w:t>
      </w:r>
      <w:r w:rsidRPr="003074E2">
        <w:rPr>
          <w:rFonts w:cs="Calibri"/>
        </w:rPr>
        <w:t xml:space="preserve"> cholesterol, non-HDL cholesterol, LDL cholesterol, </w:t>
      </w:r>
      <w:r>
        <w:rPr>
          <w:rFonts w:cs="Calibri"/>
        </w:rPr>
        <w:t>apolipoprotein B (</w:t>
      </w:r>
      <w:r w:rsidRPr="003074E2">
        <w:rPr>
          <w:rFonts w:cs="Calibri"/>
        </w:rPr>
        <w:t>apoB</w:t>
      </w:r>
      <w:r>
        <w:rPr>
          <w:rFonts w:cs="Calibri"/>
        </w:rPr>
        <w:t>)</w:t>
      </w:r>
      <w:r w:rsidRPr="003074E2">
        <w:rPr>
          <w:rFonts w:cs="Calibri"/>
        </w:rPr>
        <w:t xml:space="preserve">, apoA-I, total cholesterol/HDL cholesterol, and apoB/A-I ratio are </w:t>
      </w:r>
      <w:r>
        <w:rPr>
          <w:rFonts w:cs="Calibri"/>
        </w:rPr>
        <w:t>also</w:t>
      </w:r>
      <w:r w:rsidRPr="003074E2">
        <w:rPr>
          <w:rFonts w:cs="Calibri"/>
        </w:rPr>
        <w:t xml:space="preserve"> associated with increased CVD risk</w:t>
      </w:r>
      <w:r>
        <w:rPr>
          <w:rFonts w:cs="Calibri"/>
        </w:rPr>
        <w:t>.</w:t>
      </w:r>
      <w:r w:rsidR="00094F58">
        <w:rPr>
          <w:rFonts w:cs="Calibri"/>
          <w:vertAlign w:val="superscript"/>
        </w:rPr>
        <w:t>9</w:t>
      </w:r>
      <w:r w:rsidRPr="003074E2">
        <w:rPr>
          <w:rFonts w:cs="Calibri"/>
        </w:rPr>
        <w:t xml:space="preserve"> These findings </w:t>
      </w:r>
      <w:r>
        <w:rPr>
          <w:rFonts w:cs="Calibri"/>
        </w:rPr>
        <w:t>suggest</w:t>
      </w:r>
      <w:r w:rsidRPr="003074E2">
        <w:rPr>
          <w:rFonts w:cs="Calibri"/>
        </w:rPr>
        <w:t xml:space="preserve"> that</w:t>
      </w:r>
      <w:r>
        <w:rPr>
          <w:rFonts w:cs="Calibri"/>
        </w:rPr>
        <w:t>,</w:t>
      </w:r>
      <w:r w:rsidRPr="003074E2">
        <w:rPr>
          <w:rFonts w:cs="Calibri"/>
        </w:rPr>
        <w:t xml:space="preserve"> </w:t>
      </w:r>
      <w:r>
        <w:rPr>
          <w:rFonts w:cs="Calibri"/>
        </w:rPr>
        <w:t xml:space="preserve">compared to fasting lipids, </w:t>
      </w:r>
      <w:r w:rsidRPr="003074E2">
        <w:rPr>
          <w:rFonts w:cs="Calibri"/>
        </w:rPr>
        <w:t xml:space="preserve">nonfasting lipid profiles are not only useful, but </w:t>
      </w:r>
      <w:r>
        <w:rPr>
          <w:rFonts w:cs="Calibri"/>
        </w:rPr>
        <w:t xml:space="preserve">perhaps </w:t>
      </w:r>
      <w:r w:rsidRPr="003074E2">
        <w:rPr>
          <w:rFonts w:cs="Calibri"/>
        </w:rPr>
        <w:t xml:space="preserve">equally </w:t>
      </w:r>
      <w:r>
        <w:rPr>
          <w:rFonts w:cs="Calibri"/>
        </w:rPr>
        <w:t xml:space="preserve">or </w:t>
      </w:r>
      <w:r w:rsidRPr="003074E2">
        <w:rPr>
          <w:rFonts w:cs="Calibri"/>
        </w:rPr>
        <w:t xml:space="preserve">more informative for </w:t>
      </w:r>
      <w:r>
        <w:rPr>
          <w:rFonts w:cs="Calibri"/>
        </w:rPr>
        <w:t>CVD</w:t>
      </w:r>
      <w:r w:rsidRPr="003074E2">
        <w:rPr>
          <w:rFonts w:cs="Calibri"/>
        </w:rPr>
        <w:t xml:space="preserve"> risk prediction, simplifying </w:t>
      </w:r>
      <w:r>
        <w:rPr>
          <w:rFonts w:cs="Calibri"/>
        </w:rPr>
        <w:t xml:space="preserve">the </w:t>
      </w:r>
      <w:r w:rsidRPr="003074E2">
        <w:rPr>
          <w:rFonts w:cs="Calibri"/>
        </w:rPr>
        <w:t xml:space="preserve">sampling </w:t>
      </w:r>
      <w:r>
        <w:rPr>
          <w:rFonts w:cs="Calibri"/>
        </w:rPr>
        <w:t>process</w:t>
      </w:r>
      <w:r w:rsidRPr="003074E2">
        <w:rPr>
          <w:rFonts w:cs="Calibri"/>
        </w:rPr>
        <w:t xml:space="preserve">. </w:t>
      </w:r>
      <w:r>
        <w:rPr>
          <w:rFonts w:cs="Calibri"/>
        </w:rPr>
        <w:t xml:space="preserve">This approach </w:t>
      </w:r>
      <w:r w:rsidRPr="003074E2">
        <w:rPr>
          <w:rFonts w:cs="Calibri"/>
        </w:rPr>
        <w:t xml:space="preserve">has already been adopted </w:t>
      </w:r>
      <w:r>
        <w:rPr>
          <w:rFonts w:cs="Calibri"/>
        </w:rPr>
        <w:t xml:space="preserve">clinically </w:t>
      </w:r>
      <w:r w:rsidRPr="003074E2">
        <w:rPr>
          <w:rFonts w:cs="Calibri"/>
        </w:rPr>
        <w:t>in some Scandinavian countries.</w:t>
      </w:r>
    </w:p>
    <w:p w:rsidR="00A70A16" w:rsidRDefault="00A70A16" w:rsidP="00A70A16">
      <w:pPr>
        <w:spacing w:after="0"/>
        <w:rPr>
          <w:rFonts w:cs="Calibri"/>
        </w:rPr>
      </w:pPr>
    </w:p>
    <w:p w:rsidR="00730572" w:rsidRPr="00A70A16" w:rsidRDefault="00730572" w:rsidP="00A70A16">
      <w:pPr>
        <w:spacing w:after="0"/>
        <w:rPr>
          <w:rFonts w:cs="Calibri"/>
          <w:b/>
          <w:color w:val="C00000"/>
          <w:sz w:val="24"/>
          <w:szCs w:val="24"/>
        </w:rPr>
      </w:pPr>
      <w:r w:rsidRPr="00A70A16">
        <w:rPr>
          <w:rFonts w:cs="Calibri"/>
          <w:b/>
          <w:color w:val="C00000"/>
          <w:sz w:val="24"/>
          <w:szCs w:val="24"/>
        </w:rPr>
        <w:t xml:space="preserve">TG and risk of </w:t>
      </w:r>
      <w:r w:rsidR="00173214" w:rsidRPr="00A70A16">
        <w:rPr>
          <w:rFonts w:cs="Calibri"/>
          <w:b/>
          <w:color w:val="C00000"/>
          <w:sz w:val="24"/>
          <w:szCs w:val="24"/>
        </w:rPr>
        <w:t>CVD</w:t>
      </w:r>
    </w:p>
    <w:p w:rsidR="00730572" w:rsidRDefault="00730572" w:rsidP="00A70A16">
      <w:pPr>
        <w:spacing w:after="0"/>
        <w:rPr>
          <w:rFonts w:cs="Calibri"/>
        </w:rPr>
      </w:pPr>
      <w:r w:rsidRPr="002C4DE0">
        <w:rPr>
          <w:rFonts w:cs="Calibri"/>
        </w:rPr>
        <w:t xml:space="preserve">The role of elevated plasma TG and TG-rich lipoproteins in CVD </w:t>
      </w:r>
      <w:r w:rsidR="00EC776C" w:rsidRPr="002C4DE0">
        <w:rPr>
          <w:rFonts w:cs="Calibri"/>
        </w:rPr>
        <w:t>was</w:t>
      </w:r>
      <w:r w:rsidRPr="002C4DE0">
        <w:rPr>
          <w:rFonts w:cs="Calibri"/>
        </w:rPr>
        <w:t xml:space="preserve"> recently reviewed</w:t>
      </w:r>
      <w:r w:rsidR="007308F8">
        <w:rPr>
          <w:rFonts w:cs="Calibri"/>
        </w:rPr>
        <w:t>.</w:t>
      </w:r>
      <w:r w:rsidRPr="00997DBF">
        <w:rPr>
          <w:rFonts w:cs="Calibri"/>
          <w:vertAlign w:val="superscript"/>
        </w:rPr>
        <w:t>1</w:t>
      </w:r>
      <w:r w:rsidR="005A5F5E">
        <w:rPr>
          <w:rFonts w:cs="Calibri"/>
          <w:vertAlign w:val="superscript"/>
        </w:rPr>
        <w:t>–</w:t>
      </w:r>
      <w:r w:rsidRPr="00997DBF">
        <w:rPr>
          <w:rFonts w:cs="Calibri"/>
          <w:vertAlign w:val="superscript"/>
        </w:rPr>
        <w:t>3</w:t>
      </w:r>
      <w:r w:rsidRPr="002C4DE0">
        <w:rPr>
          <w:rFonts w:cs="Calibri"/>
        </w:rPr>
        <w:t xml:space="preserve"> The </w:t>
      </w:r>
      <w:r w:rsidR="00254921" w:rsidRPr="002C4DE0">
        <w:rPr>
          <w:rFonts w:cs="Calibri"/>
        </w:rPr>
        <w:t xml:space="preserve">magnitude of the </w:t>
      </w:r>
      <w:r w:rsidRPr="002C4DE0">
        <w:rPr>
          <w:rFonts w:cs="Calibri"/>
        </w:rPr>
        <w:t>contribution of TG to CVD risk and the exact mechanism</w:t>
      </w:r>
      <w:r w:rsidR="005A2BD4" w:rsidRPr="002C4DE0">
        <w:rPr>
          <w:rFonts w:cs="Calibri"/>
        </w:rPr>
        <w:t>(s)</w:t>
      </w:r>
      <w:r w:rsidRPr="002C4DE0">
        <w:rPr>
          <w:rFonts w:cs="Calibri"/>
        </w:rPr>
        <w:t xml:space="preserve"> by which TG-rich lipoproteins exert their effect(s) on the vascular wall are </w:t>
      </w:r>
      <w:r w:rsidR="002D2A86" w:rsidRPr="002C4DE0">
        <w:rPr>
          <w:rFonts w:cs="Calibri"/>
        </w:rPr>
        <w:t>incompletely</w:t>
      </w:r>
      <w:r w:rsidRPr="002C4DE0">
        <w:rPr>
          <w:rFonts w:cs="Calibri"/>
        </w:rPr>
        <w:t xml:space="preserve"> established. </w:t>
      </w:r>
      <w:r w:rsidR="00520B33" w:rsidRPr="002C4DE0">
        <w:rPr>
          <w:rFonts w:cs="Calibri"/>
        </w:rPr>
        <w:t>That non-fasting TG levels are relevant to CVD risk is evident from recent l</w:t>
      </w:r>
      <w:r w:rsidR="000E5B71" w:rsidRPr="002C4DE0">
        <w:rPr>
          <w:rFonts w:cs="Calibri"/>
        </w:rPr>
        <w:t>arge, long-term prospective studies in the general population</w:t>
      </w:r>
      <w:r w:rsidR="007308F8">
        <w:rPr>
          <w:rFonts w:cs="Calibri"/>
        </w:rPr>
        <w:t>,</w:t>
      </w:r>
      <w:r w:rsidR="00094F58">
        <w:rPr>
          <w:rFonts w:cs="Calibri"/>
          <w:vertAlign w:val="superscript"/>
        </w:rPr>
        <w:t>11</w:t>
      </w:r>
      <w:r w:rsidR="000E5B71" w:rsidRPr="002C4DE0">
        <w:rPr>
          <w:rFonts w:cs="Calibri"/>
        </w:rPr>
        <w:t xml:space="preserve"> </w:t>
      </w:r>
      <w:r w:rsidR="00520B33" w:rsidRPr="002C4DE0">
        <w:rPr>
          <w:rFonts w:cs="Calibri"/>
        </w:rPr>
        <w:t>thereby</w:t>
      </w:r>
      <w:r w:rsidR="000E5B71" w:rsidRPr="002C4DE0">
        <w:rPr>
          <w:rFonts w:cs="Calibri"/>
        </w:rPr>
        <w:t xml:space="preserve"> corroborat</w:t>
      </w:r>
      <w:r w:rsidR="00520B33" w:rsidRPr="002C4DE0">
        <w:rPr>
          <w:rFonts w:cs="Calibri"/>
        </w:rPr>
        <w:t>ing</w:t>
      </w:r>
      <w:r w:rsidR="000E5B71" w:rsidRPr="002C4DE0">
        <w:rPr>
          <w:rFonts w:cs="Calibri"/>
        </w:rPr>
        <w:t xml:space="preserve"> the original Zilversmit hypothesis that atherosclerosis is, at least </w:t>
      </w:r>
      <w:r w:rsidR="00EC776C" w:rsidRPr="002C4DE0">
        <w:rPr>
          <w:rFonts w:cs="Calibri"/>
        </w:rPr>
        <w:t>partially</w:t>
      </w:r>
      <w:r w:rsidR="000E5B71" w:rsidRPr="002C4DE0">
        <w:rPr>
          <w:rFonts w:cs="Calibri"/>
        </w:rPr>
        <w:t>, a postprandial phenomenon</w:t>
      </w:r>
      <w:r w:rsidR="007308F8">
        <w:rPr>
          <w:rFonts w:cs="Calibri"/>
        </w:rPr>
        <w:t>.</w:t>
      </w:r>
      <w:r w:rsidR="00094F58">
        <w:rPr>
          <w:rFonts w:cs="Calibri"/>
          <w:vertAlign w:val="superscript"/>
        </w:rPr>
        <w:t>15</w:t>
      </w:r>
      <w:r w:rsidR="000E5B71" w:rsidRPr="002C4DE0">
        <w:rPr>
          <w:rFonts w:cs="Calibri"/>
        </w:rPr>
        <w:t xml:space="preserve"> </w:t>
      </w:r>
      <w:r w:rsidRPr="002C4DE0">
        <w:rPr>
          <w:rFonts w:cs="Calibri"/>
        </w:rPr>
        <w:t xml:space="preserve">Indeed, TG-rich lipoproteins </w:t>
      </w:r>
      <w:r w:rsidR="00173214" w:rsidRPr="002C4DE0">
        <w:rPr>
          <w:rFonts w:cs="Calibri"/>
        </w:rPr>
        <w:t xml:space="preserve">such as </w:t>
      </w:r>
      <w:r w:rsidRPr="002C4DE0">
        <w:rPr>
          <w:rFonts w:cs="Calibri"/>
        </w:rPr>
        <w:t>intermediate</w:t>
      </w:r>
      <w:r w:rsidR="00C70E39" w:rsidRPr="002C4DE0">
        <w:rPr>
          <w:rFonts w:cs="Calibri"/>
        </w:rPr>
        <w:t>-</w:t>
      </w:r>
      <w:r w:rsidRPr="002C4DE0">
        <w:rPr>
          <w:rFonts w:cs="Calibri"/>
        </w:rPr>
        <w:t>density lipoprotein (IDL)</w:t>
      </w:r>
      <w:r w:rsidR="00EF1752" w:rsidRPr="002C4DE0">
        <w:rPr>
          <w:rFonts w:cs="Calibri"/>
        </w:rPr>
        <w:t xml:space="preserve"> </w:t>
      </w:r>
      <w:r w:rsidR="00C70E39" w:rsidRPr="002C4DE0">
        <w:rPr>
          <w:rFonts w:cs="Calibri"/>
        </w:rPr>
        <w:t>and</w:t>
      </w:r>
      <w:r w:rsidRPr="002C4DE0">
        <w:rPr>
          <w:rFonts w:cs="Calibri"/>
        </w:rPr>
        <w:t xml:space="preserve"> very</w:t>
      </w:r>
      <w:r w:rsidR="00577256">
        <w:rPr>
          <w:rFonts w:cs="Calibri"/>
        </w:rPr>
        <w:t xml:space="preserve"> </w:t>
      </w:r>
      <w:r w:rsidR="00577256" w:rsidRPr="002C4DE0">
        <w:rPr>
          <w:rFonts w:cs="Calibri"/>
        </w:rPr>
        <w:t>low</w:t>
      </w:r>
      <w:r w:rsidR="00577256">
        <w:rPr>
          <w:rFonts w:cs="Calibri"/>
        </w:rPr>
        <w:t>-</w:t>
      </w:r>
      <w:r w:rsidRPr="002C4DE0">
        <w:rPr>
          <w:rFonts w:cs="Calibri"/>
        </w:rPr>
        <w:t>density lipoprotein (VLDL) may be particularly prone to entrapment within the arterial wall, wh</w:t>
      </w:r>
      <w:r w:rsidR="00EF1752" w:rsidRPr="002C4DE0">
        <w:rPr>
          <w:rFonts w:cs="Calibri"/>
        </w:rPr>
        <w:t xml:space="preserve">ereas </w:t>
      </w:r>
      <w:r w:rsidR="00EF1752" w:rsidRPr="002C4DE0">
        <w:rPr>
          <w:rFonts w:cs="Calibri"/>
        </w:rPr>
        <w:lastRenderedPageBreak/>
        <w:t>nascent</w:t>
      </w:r>
      <w:r w:rsidR="00C70E39" w:rsidRPr="002C4DE0">
        <w:rPr>
          <w:rFonts w:cs="Calibri"/>
        </w:rPr>
        <w:t xml:space="preserve"> </w:t>
      </w:r>
      <w:r w:rsidRPr="002C4DE0">
        <w:rPr>
          <w:rFonts w:cs="Calibri"/>
        </w:rPr>
        <w:t xml:space="preserve">chylomicrons and very large VLDL are too large to </w:t>
      </w:r>
      <w:r w:rsidR="00C70E39" w:rsidRPr="002C4DE0">
        <w:rPr>
          <w:rFonts w:cs="Calibri"/>
        </w:rPr>
        <w:t>penetrate</w:t>
      </w:r>
      <w:r w:rsidR="007308F8">
        <w:rPr>
          <w:rFonts w:cs="Calibri"/>
        </w:rPr>
        <w:t>.</w:t>
      </w:r>
      <w:r w:rsidR="00094F58">
        <w:rPr>
          <w:rFonts w:cs="Calibri"/>
          <w:vertAlign w:val="superscript"/>
        </w:rPr>
        <w:t>15</w:t>
      </w:r>
      <w:r w:rsidR="005A5F5E">
        <w:rPr>
          <w:rFonts w:cs="Calibri"/>
          <w:vertAlign w:val="superscript"/>
        </w:rPr>
        <w:t>–</w:t>
      </w:r>
      <w:r w:rsidR="00611704" w:rsidRPr="00997DBF">
        <w:rPr>
          <w:rFonts w:cs="Calibri"/>
          <w:vertAlign w:val="superscript"/>
        </w:rPr>
        <w:t>1</w:t>
      </w:r>
      <w:r w:rsidR="00094F58">
        <w:rPr>
          <w:rFonts w:cs="Calibri"/>
          <w:vertAlign w:val="superscript"/>
        </w:rPr>
        <w:t>9</w:t>
      </w:r>
      <w:r w:rsidRPr="002C4DE0">
        <w:rPr>
          <w:rFonts w:cs="Calibri"/>
        </w:rPr>
        <w:t xml:space="preserve"> Consistent with this</w:t>
      </w:r>
      <w:r w:rsidR="00005550" w:rsidRPr="002C4DE0">
        <w:rPr>
          <w:rFonts w:cs="Calibri"/>
        </w:rPr>
        <w:t xml:space="preserve"> concept</w:t>
      </w:r>
      <w:r w:rsidRPr="002C4DE0">
        <w:rPr>
          <w:rFonts w:cs="Calibri"/>
        </w:rPr>
        <w:t xml:space="preserve">, recent Mendelian </w:t>
      </w:r>
      <w:r w:rsidR="007B1479" w:rsidRPr="002C4DE0">
        <w:rPr>
          <w:rFonts w:cs="Calibri"/>
        </w:rPr>
        <w:t>randomi</w:t>
      </w:r>
      <w:r w:rsidR="007B1479">
        <w:rPr>
          <w:rFonts w:cs="Calibri"/>
        </w:rPr>
        <w:t>s</w:t>
      </w:r>
      <w:r w:rsidR="007B1479" w:rsidRPr="002C4DE0">
        <w:rPr>
          <w:rFonts w:cs="Calibri"/>
        </w:rPr>
        <w:t xml:space="preserve">ation </w:t>
      </w:r>
      <w:r w:rsidRPr="002C4DE0">
        <w:rPr>
          <w:rFonts w:cs="Calibri"/>
        </w:rPr>
        <w:t xml:space="preserve">studies indicate that lifelong elevated </w:t>
      </w:r>
      <w:r w:rsidR="00005550" w:rsidRPr="002C4DE0">
        <w:rPr>
          <w:rFonts w:cs="Calibri"/>
        </w:rPr>
        <w:t xml:space="preserve">plasma </w:t>
      </w:r>
      <w:r w:rsidR="00173214" w:rsidRPr="002C4DE0">
        <w:rPr>
          <w:rFonts w:cs="Calibri"/>
        </w:rPr>
        <w:t xml:space="preserve">levels of </w:t>
      </w:r>
      <w:r w:rsidR="00355995" w:rsidRPr="002C4DE0">
        <w:rPr>
          <w:rFonts w:cs="Calibri"/>
        </w:rPr>
        <w:t xml:space="preserve">TG-rich lipoproteins </w:t>
      </w:r>
      <w:r w:rsidR="00C70E39" w:rsidRPr="002C4DE0">
        <w:rPr>
          <w:rFonts w:cs="Calibri"/>
        </w:rPr>
        <w:t>and/</w:t>
      </w:r>
      <w:r w:rsidR="00355995" w:rsidRPr="002C4DE0">
        <w:rPr>
          <w:rFonts w:cs="Calibri"/>
        </w:rPr>
        <w:t xml:space="preserve">or their </w:t>
      </w:r>
      <w:r w:rsidRPr="002C4DE0">
        <w:rPr>
          <w:rFonts w:cs="Calibri"/>
        </w:rPr>
        <w:t>remnant</w:t>
      </w:r>
      <w:r w:rsidR="00EF1752" w:rsidRPr="002C4DE0">
        <w:rPr>
          <w:rFonts w:cs="Calibri"/>
        </w:rPr>
        <w:t>s</w:t>
      </w:r>
      <w:r w:rsidRPr="002C4DE0">
        <w:rPr>
          <w:rFonts w:cs="Calibri"/>
        </w:rPr>
        <w:t xml:space="preserve"> </w:t>
      </w:r>
      <w:r w:rsidR="00173214" w:rsidRPr="002C4DE0">
        <w:rPr>
          <w:rFonts w:cs="Calibri"/>
        </w:rPr>
        <w:t>are</w:t>
      </w:r>
      <w:r w:rsidRPr="002C4DE0">
        <w:rPr>
          <w:rFonts w:cs="Calibri"/>
        </w:rPr>
        <w:t xml:space="preserve"> causally associated with increased risk of isch</w:t>
      </w:r>
      <w:r w:rsidR="00DA0A83">
        <w:rPr>
          <w:rFonts w:cs="Calibri"/>
        </w:rPr>
        <w:t>a</w:t>
      </w:r>
      <w:r w:rsidRPr="002C4DE0">
        <w:rPr>
          <w:rFonts w:cs="Calibri"/>
        </w:rPr>
        <w:t>emic heart disease</w:t>
      </w:r>
      <w:r w:rsidR="00920735">
        <w:rPr>
          <w:rFonts w:cs="Calibri"/>
        </w:rPr>
        <w:t>,</w:t>
      </w:r>
      <w:r w:rsidR="00611704" w:rsidRPr="00997DBF">
        <w:rPr>
          <w:rFonts w:cs="Calibri"/>
          <w:vertAlign w:val="superscript"/>
        </w:rPr>
        <w:t>1</w:t>
      </w:r>
      <w:r w:rsidR="00094F58">
        <w:rPr>
          <w:rFonts w:cs="Calibri"/>
          <w:vertAlign w:val="superscript"/>
        </w:rPr>
        <w:t>3,1</w:t>
      </w:r>
      <w:r w:rsidR="004B3BFB" w:rsidRPr="00997DBF">
        <w:rPr>
          <w:rFonts w:cs="Calibri"/>
          <w:vertAlign w:val="superscript"/>
        </w:rPr>
        <w:t>4</w:t>
      </w:r>
      <w:r w:rsidRPr="002C4DE0">
        <w:rPr>
          <w:rFonts w:cs="Calibri"/>
        </w:rPr>
        <w:t xml:space="preserve"> </w:t>
      </w:r>
      <w:r w:rsidR="00005550" w:rsidRPr="002C4DE0">
        <w:rPr>
          <w:rFonts w:cs="Calibri"/>
        </w:rPr>
        <w:t xml:space="preserve">independent of </w:t>
      </w:r>
      <w:r w:rsidR="00C70E39" w:rsidRPr="002C4DE0">
        <w:rPr>
          <w:rFonts w:cs="Calibri"/>
        </w:rPr>
        <w:t>subnormal</w:t>
      </w:r>
      <w:r w:rsidR="00005550" w:rsidRPr="002C4DE0">
        <w:rPr>
          <w:rFonts w:cs="Calibri"/>
        </w:rPr>
        <w:t xml:space="preserve"> levels of </w:t>
      </w:r>
      <w:r w:rsidRPr="002C4DE0">
        <w:rPr>
          <w:rFonts w:cs="Calibri"/>
        </w:rPr>
        <w:t>HDL cholesterol</w:t>
      </w:r>
      <w:r w:rsidR="007308F8">
        <w:rPr>
          <w:rFonts w:cs="Calibri"/>
        </w:rPr>
        <w:t>.</w:t>
      </w:r>
      <w:r w:rsidR="00094F58">
        <w:rPr>
          <w:rFonts w:cs="Calibri"/>
          <w:vertAlign w:val="superscript"/>
        </w:rPr>
        <w:t>11</w:t>
      </w:r>
      <w:r w:rsidRPr="002C4DE0">
        <w:rPr>
          <w:rFonts w:cs="Calibri"/>
        </w:rPr>
        <w:t xml:space="preserve"> </w:t>
      </w:r>
    </w:p>
    <w:p w:rsidR="00A70A16" w:rsidRDefault="00A70A16" w:rsidP="00A70A16">
      <w:pPr>
        <w:spacing w:after="0"/>
        <w:rPr>
          <w:rFonts w:cs="Calibri"/>
        </w:rPr>
      </w:pPr>
    </w:p>
    <w:p w:rsidR="00D21300" w:rsidRDefault="00EC776C" w:rsidP="00A70A16">
      <w:pPr>
        <w:spacing w:after="0"/>
        <w:rPr>
          <w:rFonts w:cs="Calibri"/>
        </w:rPr>
      </w:pPr>
      <w:r w:rsidRPr="0054379A">
        <w:rPr>
          <w:rFonts w:cs="Calibri"/>
        </w:rPr>
        <w:t>T</w:t>
      </w:r>
      <w:r w:rsidR="00730572" w:rsidRPr="0054379A">
        <w:rPr>
          <w:rFonts w:cs="Calibri"/>
        </w:rPr>
        <w:t>he relative risk for CVD arising from an increase of 1 mmol/L in plasma TG range</w:t>
      </w:r>
      <w:r w:rsidR="004C5F80">
        <w:rPr>
          <w:rFonts w:cs="Calibri"/>
        </w:rPr>
        <w:t>s</w:t>
      </w:r>
      <w:r w:rsidR="00730572" w:rsidRPr="0054379A">
        <w:rPr>
          <w:rFonts w:cs="Calibri"/>
        </w:rPr>
        <w:t xml:space="preserve"> from 1</w:t>
      </w:r>
      <w:r w:rsidR="00F603DE">
        <w:rPr>
          <w:rFonts w:cs="Calibri"/>
        </w:rPr>
        <w:t>·</w:t>
      </w:r>
      <w:r w:rsidR="00730572" w:rsidRPr="0054379A">
        <w:rPr>
          <w:rFonts w:cs="Calibri"/>
        </w:rPr>
        <w:t>14 to 1</w:t>
      </w:r>
      <w:r w:rsidR="00F603DE">
        <w:rPr>
          <w:rFonts w:cs="Calibri"/>
        </w:rPr>
        <w:t>·</w:t>
      </w:r>
      <w:r w:rsidR="00730572" w:rsidRPr="0054379A">
        <w:rPr>
          <w:rFonts w:cs="Calibri"/>
        </w:rPr>
        <w:t>80, depending on gender and race, after adjustment for established risk factors, including HDL cholesterol</w:t>
      </w:r>
      <w:r w:rsidR="007308F8">
        <w:rPr>
          <w:rFonts w:cs="Calibri"/>
        </w:rPr>
        <w:t>.</w:t>
      </w:r>
      <w:r w:rsidR="00F82F55" w:rsidRPr="00997DBF">
        <w:rPr>
          <w:rFonts w:cs="Calibri"/>
          <w:vertAlign w:val="superscript"/>
        </w:rPr>
        <w:t>3</w:t>
      </w:r>
      <w:r w:rsidR="000E5B71" w:rsidRPr="0054379A">
        <w:rPr>
          <w:rFonts w:cs="Calibri"/>
        </w:rPr>
        <w:t xml:space="preserve"> </w:t>
      </w:r>
      <w:r w:rsidR="00730572" w:rsidRPr="0054379A">
        <w:rPr>
          <w:rFonts w:cs="Calibri"/>
        </w:rPr>
        <w:t xml:space="preserve">Other studies </w:t>
      </w:r>
      <w:r w:rsidRPr="0054379A">
        <w:rPr>
          <w:rFonts w:cs="Calibri"/>
        </w:rPr>
        <w:t xml:space="preserve">in various cohorts </w:t>
      </w:r>
      <w:r w:rsidR="00730572" w:rsidRPr="0054379A">
        <w:rPr>
          <w:rFonts w:cs="Calibri"/>
        </w:rPr>
        <w:t>compared the top versus bottom tertile or quintile for TG levels</w:t>
      </w:r>
      <w:r w:rsidR="00005550" w:rsidRPr="0054379A">
        <w:rPr>
          <w:rFonts w:cs="Calibri"/>
        </w:rPr>
        <w:t>,</w:t>
      </w:r>
      <w:r w:rsidR="00730572" w:rsidRPr="0054379A">
        <w:rPr>
          <w:rFonts w:cs="Calibri"/>
        </w:rPr>
        <w:t xml:space="preserve"> and reported adjusted odds ratios </w:t>
      </w:r>
      <w:r w:rsidR="00005550" w:rsidRPr="0054379A">
        <w:rPr>
          <w:rFonts w:cs="Calibri"/>
        </w:rPr>
        <w:t>between</w:t>
      </w:r>
      <w:r w:rsidR="00730572" w:rsidRPr="0054379A">
        <w:rPr>
          <w:rFonts w:cs="Calibri"/>
        </w:rPr>
        <w:t xml:space="preserve"> 1</w:t>
      </w:r>
      <w:r w:rsidR="00F603DE">
        <w:rPr>
          <w:rFonts w:cs="Calibri"/>
        </w:rPr>
        <w:t>·</w:t>
      </w:r>
      <w:r w:rsidR="00730572" w:rsidRPr="0054379A">
        <w:rPr>
          <w:rFonts w:cs="Calibri"/>
        </w:rPr>
        <w:t xml:space="preserve">2 </w:t>
      </w:r>
      <w:r w:rsidR="00005550" w:rsidRPr="0054379A">
        <w:rPr>
          <w:rFonts w:cs="Calibri"/>
        </w:rPr>
        <w:t xml:space="preserve">and </w:t>
      </w:r>
      <w:r w:rsidR="00730572" w:rsidRPr="0054379A">
        <w:rPr>
          <w:rFonts w:cs="Calibri"/>
        </w:rPr>
        <w:t>4</w:t>
      </w:r>
      <w:r w:rsidR="00604EB7">
        <w:rPr>
          <w:rFonts w:cs="Calibri"/>
        </w:rPr>
        <w:t>·0</w:t>
      </w:r>
      <w:r w:rsidR="00005550" w:rsidRPr="0054379A">
        <w:rPr>
          <w:rFonts w:cs="Calibri"/>
        </w:rPr>
        <w:t xml:space="preserve"> for increased</w:t>
      </w:r>
      <w:r w:rsidR="00730572" w:rsidRPr="0054379A">
        <w:rPr>
          <w:rFonts w:cs="Calibri"/>
        </w:rPr>
        <w:t xml:space="preserve"> CVD </w:t>
      </w:r>
      <w:r w:rsidR="00005550" w:rsidRPr="0054379A">
        <w:rPr>
          <w:rFonts w:cs="Calibri"/>
        </w:rPr>
        <w:t>risk</w:t>
      </w:r>
      <w:r w:rsidR="007308F8">
        <w:rPr>
          <w:rFonts w:cs="Calibri"/>
        </w:rPr>
        <w:t>.</w:t>
      </w:r>
      <w:r w:rsidR="00730572" w:rsidRPr="00997DBF">
        <w:rPr>
          <w:rFonts w:cs="Calibri"/>
          <w:vertAlign w:val="superscript"/>
        </w:rPr>
        <w:t>2</w:t>
      </w:r>
      <w:r w:rsidR="00730572" w:rsidRPr="0054379A">
        <w:rPr>
          <w:rFonts w:cs="Calibri"/>
        </w:rPr>
        <w:t xml:space="preserve"> The European and North American assessments of the Emerging Risk Factors Collaboration evaluated 302</w:t>
      </w:r>
      <w:r w:rsidR="00997DBF">
        <w:rPr>
          <w:rFonts w:cs="Calibri"/>
        </w:rPr>
        <w:t xml:space="preserve"> </w:t>
      </w:r>
      <w:r w:rsidR="00730572" w:rsidRPr="0054379A">
        <w:rPr>
          <w:rFonts w:cs="Calibri"/>
        </w:rPr>
        <w:t xml:space="preserve">430 </w:t>
      </w:r>
      <w:r w:rsidR="00173214" w:rsidRPr="0054379A">
        <w:rPr>
          <w:rFonts w:cs="Calibri"/>
        </w:rPr>
        <w:t>individuals</w:t>
      </w:r>
      <w:r w:rsidR="00730572" w:rsidRPr="0054379A">
        <w:rPr>
          <w:rFonts w:cs="Calibri"/>
        </w:rPr>
        <w:t xml:space="preserve"> </w:t>
      </w:r>
      <w:r w:rsidR="00173214" w:rsidRPr="0054379A">
        <w:rPr>
          <w:rFonts w:cs="Calibri"/>
        </w:rPr>
        <w:t>without</w:t>
      </w:r>
      <w:r w:rsidR="00730572" w:rsidRPr="0054379A">
        <w:rPr>
          <w:rFonts w:cs="Calibri"/>
        </w:rPr>
        <w:t xml:space="preserve"> CVD at baseline in 68 prospective studies. The hazard ratio (HR) for CVD with TG was 1</w:t>
      </w:r>
      <w:r w:rsidR="00F603DE">
        <w:rPr>
          <w:rFonts w:cs="Calibri"/>
        </w:rPr>
        <w:t>·</w:t>
      </w:r>
      <w:r w:rsidR="00730572" w:rsidRPr="0054379A">
        <w:rPr>
          <w:rFonts w:cs="Calibri"/>
        </w:rPr>
        <w:t xml:space="preserve">37 </w:t>
      </w:r>
      <w:r w:rsidR="0073425E" w:rsidRPr="0054379A">
        <w:rPr>
          <w:rFonts w:cs="Calibri"/>
        </w:rPr>
        <w:t xml:space="preserve">per standard deviation </w:t>
      </w:r>
      <w:r w:rsidR="00730572" w:rsidRPr="0054379A">
        <w:rPr>
          <w:rFonts w:cs="Calibri"/>
        </w:rPr>
        <w:t>(95% CI, 1</w:t>
      </w:r>
      <w:r w:rsidR="00F603DE">
        <w:rPr>
          <w:rFonts w:cs="Calibri"/>
        </w:rPr>
        <w:t>·</w:t>
      </w:r>
      <w:r w:rsidR="00730572" w:rsidRPr="0054379A">
        <w:rPr>
          <w:rFonts w:cs="Calibri"/>
        </w:rPr>
        <w:t>31</w:t>
      </w:r>
      <w:r w:rsidR="00604EB7">
        <w:rPr>
          <w:rFonts w:cs="Calibri"/>
        </w:rPr>
        <w:t xml:space="preserve"> to </w:t>
      </w:r>
      <w:r w:rsidR="00730572" w:rsidRPr="0054379A">
        <w:rPr>
          <w:rFonts w:cs="Calibri"/>
        </w:rPr>
        <w:t>1</w:t>
      </w:r>
      <w:r w:rsidR="00F603DE">
        <w:rPr>
          <w:rFonts w:cs="Calibri"/>
        </w:rPr>
        <w:t>·</w:t>
      </w:r>
      <w:r w:rsidR="00730572" w:rsidRPr="0054379A">
        <w:rPr>
          <w:rFonts w:cs="Calibri"/>
        </w:rPr>
        <w:t>42) after adjustment for non-lipid risk factors</w:t>
      </w:r>
      <w:r w:rsidR="007308F8">
        <w:rPr>
          <w:rFonts w:cs="Calibri"/>
        </w:rPr>
        <w:t>.</w:t>
      </w:r>
      <w:r w:rsidR="00094F58">
        <w:rPr>
          <w:rFonts w:cs="Calibri"/>
          <w:vertAlign w:val="superscript"/>
        </w:rPr>
        <w:t>20</w:t>
      </w:r>
      <w:r w:rsidR="00730572" w:rsidRPr="0054379A">
        <w:rPr>
          <w:rFonts w:cs="Calibri"/>
        </w:rPr>
        <w:t xml:space="preserve"> However, this was e</w:t>
      </w:r>
      <w:r w:rsidR="00DC3624" w:rsidRPr="0054379A">
        <w:rPr>
          <w:rFonts w:cs="Calibri"/>
        </w:rPr>
        <w:t>ssentiall</w:t>
      </w:r>
      <w:r w:rsidR="00730572" w:rsidRPr="0054379A">
        <w:rPr>
          <w:rFonts w:cs="Calibri"/>
        </w:rPr>
        <w:t xml:space="preserve">y </w:t>
      </w:r>
      <w:r w:rsidR="00DC3624" w:rsidRPr="0054379A">
        <w:rPr>
          <w:rFonts w:cs="Calibri"/>
        </w:rPr>
        <w:t>lost</w:t>
      </w:r>
      <w:r w:rsidR="00730572" w:rsidRPr="0054379A">
        <w:rPr>
          <w:rFonts w:cs="Calibri"/>
        </w:rPr>
        <w:t xml:space="preserve"> after adjustment for </w:t>
      </w:r>
      <w:r w:rsidR="000E5B71" w:rsidRPr="0054379A">
        <w:rPr>
          <w:rFonts w:cs="Calibri"/>
        </w:rPr>
        <w:t xml:space="preserve">both </w:t>
      </w:r>
      <w:r w:rsidR="00730572" w:rsidRPr="0054379A">
        <w:rPr>
          <w:rFonts w:cs="Calibri"/>
        </w:rPr>
        <w:t>HDL and non-HDL cholesterol (HR 0</w:t>
      </w:r>
      <w:r w:rsidR="00F603DE">
        <w:rPr>
          <w:rFonts w:cs="Calibri"/>
        </w:rPr>
        <w:t>·</w:t>
      </w:r>
      <w:r w:rsidR="00730572" w:rsidRPr="0054379A">
        <w:rPr>
          <w:rFonts w:cs="Calibri"/>
        </w:rPr>
        <w:t>99, 95% CI, 0</w:t>
      </w:r>
      <w:r w:rsidR="00F603DE">
        <w:rPr>
          <w:rFonts w:cs="Calibri"/>
        </w:rPr>
        <w:t>·</w:t>
      </w:r>
      <w:r w:rsidR="00730572" w:rsidRPr="0054379A">
        <w:rPr>
          <w:rFonts w:cs="Calibri"/>
        </w:rPr>
        <w:t>94</w:t>
      </w:r>
      <w:r w:rsidR="00604EB7">
        <w:rPr>
          <w:rFonts w:cs="Calibri"/>
        </w:rPr>
        <w:t xml:space="preserve"> to </w:t>
      </w:r>
      <w:r w:rsidR="00730572" w:rsidRPr="0054379A">
        <w:rPr>
          <w:rFonts w:cs="Calibri"/>
        </w:rPr>
        <w:t>1</w:t>
      </w:r>
      <w:r w:rsidR="00F603DE">
        <w:rPr>
          <w:rFonts w:cs="Calibri"/>
        </w:rPr>
        <w:t>·</w:t>
      </w:r>
      <w:r w:rsidR="00730572" w:rsidRPr="0054379A">
        <w:rPr>
          <w:rFonts w:cs="Calibri"/>
        </w:rPr>
        <w:t>05</w:t>
      </w:r>
      <w:r w:rsidR="00DA0A83" w:rsidRPr="0054379A">
        <w:rPr>
          <w:rFonts w:cs="Calibri"/>
        </w:rPr>
        <w:t>)</w:t>
      </w:r>
      <w:r w:rsidR="00DA0A83">
        <w:rPr>
          <w:rFonts w:cs="Calibri"/>
        </w:rPr>
        <w:t>;</w:t>
      </w:r>
      <w:r w:rsidR="00094F58">
        <w:rPr>
          <w:rFonts w:cs="Calibri"/>
          <w:vertAlign w:val="superscript"/>
        </w:rPr>
        <w:t>20</w:t>
      </w:r>
      <w:r w:rsidR="000E5B71" w:rsidRPr="0054379A">
        <w:rPr>
          <w:rFonts w:cs="Calibri"/>
        </w:rPr>
        <w:t xml:space="preserve"> HDL </w:t>
      </w:r>
      <w:r w:rsidRPr="0054379A">
        <w:rPr>
          <w:rFonts w:cs="Calibri"/>
        </w:rPr>
        <w:t xml:space="preserve">cholesterol </w:t>
      </w:r>
      <w:r w:rsidR="000E5B71" w:rsidRPr="0054379A">
        <w:rPr>
          <w:rFonts w:cs="Calibri"/>
        </w:rPr>
        <w:t xml:space="preserve">alone weakened but </w:t>
      </w:r>
      <w:r w:rsidR="007601D3" w:rsidRPr="0054379A">
        <w:rPr>
          <w:rFonts w:cs="Calibri"/>
        </w:rPr>
        <w:t xml:space="preserve">did </w:t>
      </w:r>
      <w:r w:rsidR="000E5B71" w:rsidRPr="0054379A">
        <w:rPr>
          <w:rFonts w:cs="Calibri"/>
        </w:rPr>
        <w:t>not abolish the association</w:t>
      </w:r>
      <w:r w:rsidR="00730572" w:rsidRPr="0054379A">
        <w:rPr>
          <w:rFonts w:cs="Calibri"/>
        </w:rPr>
        <w:t xml:space="preserve"> (</w:t>
      </w:r>
      <w:r w:rsidR="00BA7AE2" w:rsidRPr="00A70A16">
        <w:rPr>
          <w:rFonts w:cs="Calibri"/>
          <w:i/>
        </w:rPr>
        <w:t>Kausik</w:t>
      </w:r>
      <w:r w:rsidR="00DF2419" w:rsidRPr="00A70A16">
        <w:rPr>
          <w:rFonts w:cs="Calibri"/>
          <w:i/>
        </w:rPr>
        <w:t xml:space="preserve"> Ray, </w:t>
      </w:r>
      <w:r w:rsidR="00EF1752" w:rsidRPr="00A70A16">
        <w:rPr>
          <w:rFonts w:cs="Calibri"/>
          <w:i/>
        </w:rPr>
        <w:t>personal communication</w:t>
      </w:r>
      <w:r w:rsidR="0054379A">
        <w:rPr>
          <w:rFonts w:cs="Calibri"/>
        </w:rPr>
        <w:t>)</w:t>
      </w:r>
      <w:r w:rsidR="00730572" w:rsidRPr="0054379A">
        <w:rPr>
          <w:rFonts w:cs="Calibri"/>
        </w:rPr>
        <w:t>. Importantly, even in nonfasting samples</w:t>
      </w:r>
      <w:r w:rsidR="00355995" w:rsidRPr="0054379A">
        <w:rPr>
          <w:rFonts w:cs="Calibri"/>
        </w:rPr>
        <w:t>,</w:t>
      </w:r>
      <w:r w:rsidR="00730572" w:rsidRPr="0054379A">
        <w:rPr>
          <w:rFonts w:cs="Calibri"/>
        </w:rPr>
        <w:t xml:space="preserve"> TG was not independently associated with </w:t>
      </w:r>
      <w:r w:rsidRPr="0054379A">
        <w:rPr>
          <w:rFonts w:cs="Calibri"/>
        </w:rPr>
        <w:t xml:space="preserve">CVD </w:t>
      </w:r>
      <w:r w:rsidR="00730572" w:rsidRPr="0054379A">
        <w:rPr>
          <w:rFonts w:cs="Calibri"/>
        </w:rPr>
        <w:t>risk after adjustment for non-HDL cholesterol and HDL cholesterol. While this suggest</w:t>
      </w:r>
      <w:r w:rsidR="00DC3624" w:rsidRPr="0054379A">
        <w:rPr>
          <w:rFonts w:cs="Calibri"/>
        </w:rPr>
        <w:t>ed</w:t>
      </w:r>
      <w:r w:rsidR="00730572" w:rsidRPr="0054379A">
        <w:rPr>
          <w:rFonts w:cs="Calibri"/>
        </w:rPr>
        <w:t xml:space="preserve"> that HDL cholesterol </w:t>
      </w:r>
      <w:r w:rsidRPr="0054379A">
        <w:rPr>
          <w:rFonts w:cs="Calibri"/>
        </w:rPr>
        <w:t>drove</w:t>
      </w:r>
      <w:r w:rsidR="00730572" w:rsidRPr="0054379A">
        <w:rPr>
          <w:rFonts w:cs="Calibri"/>
        </w:rPr>
        <w:t xml:space="preserve"> the </w:t>
      </w:r>
      <w:r w:rsidR="00730572" w:rsidRPr="0054379A">
        <w:rPr>
          <w:rFonts w:cs="Calibri"/>
        </w:rPr>
        <w:lastRenderedPageBreak/>
        <w:t xml:space="preserve">relationship with CVD, recent re-examination of </w:t>
      </w:r>
      <w:r w:rsidR="00DA0A83">
        <w:rPr>
          <w:rFonts w:cs="Calibri"/>
        </w:rPr>
        <w:t>the</w:t>
      </w:r>
      <w:r w:rsidR="00DA0A83" w:rsidRPr="0054379A">
        <w:rPr>
          <w:rFonts w:cs="Calibri"/>
        </w:rPr>
        <w:t xml:space="preserve"> </w:t>
      </w:r>
      <w:r w:rsidR="00173214" w:rsidRPr="0054379A">
        <w:rPr>
          <w:rFonts w:cs="Calibri"/>
        </w:rPr>
        <w:t>p</w:t>
      </w:r>
      <w:r w:rsidR="00F82F55" w:rsidRPr="0054379A">
        <w:rPr>
          <w:rFonts w:cs="Calibri"/>
        </w:rPr>
        <w:t xml:space="preserve">utative </w:t>
      </w:r>
      <w:r w:rsidR="00DC3624" w:rsidRPr="0054379A">
        <w:rPr>
          <w:rFonts w:cs="Calibri"/>
        </w:rPr>
        <w:t>athero</w:t>
      </w:r>
      <w:r w:rsidR="00173214" w:rsidRPr="0054379A">
        <w:rPr>
          <w:rFonts w:cs="Calibri"/>
        </w:rPr>
        <w:t>protective role</w:t>
      </w:r>
      <w:r w:rsidR="00DA0A83">
        <w:rPr>
          <w:rFonts w:cs="Calibri"/>
        </w:rPr>
        <w:t xml:space="preserve"> of HDL</w:t>
      </w:r>
      <w:r w:rsidR="00094F58">
        <w:rPr>
          <w:rFonts w:cs="Calibri"/>
          <w:vertAlign w:val="superscript"/>
        </w:rPr>
        <w:t>21</w:t>
      </w:r>
      <w:r w:rsidR="00DC3624" w:rsidRPr="0054379A">
        <w:rPr>
          <w:rFonts w:cs="Calibri"/>
        </w:rPr>
        <w:t xml:space="preserve"> </w:t>
      </w:r>
      <w:r w:rsidR="0054379A">
        <w:rPr>
          <w:rFonts w:cs="Calibri"/>
        </w:rPr>
        <w:t>indicates</w:t>
      </w:r>
      <w:r w:rsidR="0054379A" w:rsidRPr="0054379A">
        <w:rPr>
          <w:rFonts w:cs="Calibri"/>
        </w:rPr>
        <w:t xml:space="preserve"> </w:t>
      </w:r>
      <w:r w:rsidR="00DC3624" w:rsidRPr="0054379A">
        <w:rPr>
          <w:rFonts w:cs="Calibri"/>
        </w:rPr>
        <w:t>that</w:t>
      </w:r>
      <w:r w:rsidR="00730572" w:rsidRPr="0054379A">
        <w:rPr>
          <w:rFonts w:cs="Calibri"/>
        </w:rPr>
        <w:t xml:space="preserve"> TG-related mechanisms</w:t>
      </w:r>
      <w:r w:rsidR="00F82F55" w:rsidRPr="0054379A">
        <w:rPr>
          <w:rFonts w:cs="Calibri"/>
        </w:rPr>
        <w:t xml:space="preserve"> should be re</w:t>
      </w:r>
      <w:r w:rsidR="00DA0A83">
        <w:rPr>
          <w:rFonts w:cs="Calibri"/>
        </w:rPr>
        <w:t>-</w:t>
      </w:r>
      <w:r w:rsidR="00F82F55" w:rsidRPr="0054379A">
        <w:rPr>
          <w:rFonts w:cs="Calibri"/>
        </w:rPr>
        <w:t>considered as part of the pathophysiology of</w:t>
      </w:r>
      <w:r w:rsidR="00730572" w:rsidRPr="0054379A">
        <w:rPr>
          <w:rFonts w:cs="Calibri"/>
        </w:rPr>
        <w:t xml:space="preserve"> CVD. Finally, Mendelian </w:t>
      </w:r>
      <w:r w:rsidR="007B1479" w:rsidRPr="0054379A">
        <w:rPr>
          <w:rFonts w:cs="Calibri"/>
        </w:rPr>
        <w:t>randomi</w:t>
      </w:r>
      <w:r w:rsidR="007B1479">
        <w:rPr>
          <w:rFonts w:cs="Calibri"/>
        </w:rPr>
        <w:t>s</w:t>
      </w:r>
      <w:r w:rsidR="007B1479" w:rsidRPr="0054379A">
        <w:rPr>
          <w:rFonts w:cs="Calibri"/>
        </w:rPr>
        <w:t xml:space="preserve">ation </w:t>
      </w:r>
      <w:r w:rsidR="00730572" w:rsidRPr="0054379A">
        <w:rPr>
          <w:rFonts w:cs="Calibri"/>
        </w:rPr>
        <w:t xml:space="preserve">analyses </w:t>
      </w:r>
      <w:r w:rsidR="00DC3624" w:rsidRPr="0054379A">
        <w:rPr>
          <w:rFonts w:cs="Calibri"/>
        </w:rPr>
        <w:t xml:space="preserve">indicate </w:t>
      </w:r>
      <w:r w:rsidR="00730572" w:rsidRPr="0054379A">
        <w:rPr>
          <w:rFonts w:cs="Calibri"/>
        </w:rPr>
        <w:t>a relatively direct causal relationship between TG</w:t>
      </w:r>
      <w:r w:rsidR="006F6591" w:rsidRPr="0054379A">
        <w:rPr>
          <w:rFonts w:cs="Calibri"/>
        </w:rPr>
        <w:t xml:space="preserve"> and TG-rich lipoproteins</w:t>
      </w:r>
      <w:r w:rsidR="00730572" w:rsidRPr="0054379A">
        <w:rPr>
          <w:rFonts w:cs="Calibri"/>
        </w:rPr>
        <w:t xml:space="preserve"> and coronary heart disease (CHD) </w:t>
      </w:r>
      <w:r w:rsidR="0054379A">
        <w:rPr>
          <w:rFonts w:cs="Calibri"/>
        </w:rPr>
        <w:t xml:space="preserve">risk </w:t>
      </w:r>
      <w:r w:rsidR="00730572" w:rsidRPr="0054379A">
        <w:rPr>
          <w:rFonts w:cs="Calibri"/>
        </w:rPr>
        <w:t xml:space="preserve">with </w:t>
      </w:r>
      <w:r w:rsidRPr="0054379A">
        <w:rPr>
          <w:rFonts w:cs="Calibri"/>
        </w:rPr>
        <w:t xml:space="preserve">comparable </w:t>
      </w:r>
      <w:r w:rsidR="00730572" w:rsidRPr="0054379A">
        <w:rPr>
          <w:rFonts w:cs="Calibri"/>
        </w:rPr>
        <w:t>odds ratio</w:t>
      </w:r>
      <w:r w:rsidRPr="0054379A">
        <w:rPr>
          <w:rFonts w:cs="Calibri"/>
        </w:rPr>
        <w:t xml:space="preserve">s to those </w:t>
      </w:r>
      <w:r w:rsidR="00730572" w:rsidRPr="0054379A">
        <w:rPr>
          <w:rFonts w:cs="Calibri"/>
        </w:rPr>
        <w:t>found in prospective studies</w:t>
      </w:r>
      <w:r w:rsidR="007308F8">
        <w:rPr>
          <w:rFonts w:cs="Calibri"/>
        </w:rPr>
        <w:t>.</w:t>
      </w:r>
      <w:r w:rsidR="006F6591" w:rsidRPr="00997DBF">
        <w:rPr>
          <w:rFonts w:cs="Calibri"/>
          <w:vertAlign w:val="superscript"/>
        </w:rPr>
        <w:t>1</w:t>
      </w:r>
      <w:r w:rsidR="00094F58">
        <w:rPr>
          <w:rFonts w:cs="Calibri"/>
          <w:vertAlign w:val="superscript"/>
        </w:rPr>
        <w:t>3,1</w:t>
      </w:r>
      <w:r w:rsidR="006F6591" w:rsidRPr="00997DBF">
        <w:rPr>
          <w:rFonts w:cs="Calibri"/>
          <w:vertAlign w:val="superscript"/>
        </w:rPr>
        <w:t>4,</w:t>
      </w:r>
      <w:r w:rsidR="00094F58">
        <w:rPr>
          <w:rFonts w:cs="Calibri"/>
          <w:vertAlign w:val="superscript"/>
        </w:rPr>
        <w:t>22</w:t>
      </w:r>
      <w:r w:rsidR="007308F8">
        <w:rPr>
          <w:rFonts w:cs="Calibri"/>
        </w:rPr>
        <w:t xml:space="preserve"> </w:t>
      </w:r>
      <w:r w:rsidR="00730572" w:rsidRPr="0054379A">
        <w:rPr>
          <w:rFonts w:cs="Calibri"/>
        </w:rPr>
        <w:t xml:space="preserve"> </w:t>
      </w:r>
      <w:r w:rsidR="00173214" w:rsidRPr="0054379A">
        <w:rPr>
          <w:rFonts w:cs="Calibri"/>
        </w:rPr>
        <w:t xml:space="preserve">On the basis of </w:t>
      </w:r>
      <w:r w:rsidRPr="0054379A">
        <w:rPr>
          <w:rFonts w:cs="Calibri"/>
        </w:rPr>
        <w:t>total</w:t>
      </w:r>
      <w:r w:rsidR="00730572" w:rsidRPr="0054379A">
        <w:rPr>
          <w:rFonts w:cs="Calibri"/>
        </w:rPr>
        <w:t xml:space="preserve"> epidemiological and genetic data, one would predict that a randomised clinical trial with a specific TG-lowering agent should demonstrate a causal relationship between plasma TG and </w:t>
      </w:r>
      <w:r w:rsidR="00173214" w:rsidRPr="0054379A">
        <w:rPr>
          <w:rFonts w:cs="Calibri"/>
        </w:rPr>
        <w:t>CVD</w:t>
      </w:r>
      <w:r w:rsidR="00730572" w:rsidRPr="0054379A">
        <w:rPr>
          <w:rFonts w:cs="Calibri"/>
        </w:rPr>
        <w:t xml:space="preserve"> morbidity and mortality. </w:t>
      </w:r>
      <w:r w:rsidR="00C8017C">
        <w:rPr>
          <w:rFonts w:cs="Calibri"/>
        </w:rPr>
        <w:t xml:space="preserve">Despite this, clinical trials of currently available agents to lower plasma TG, which also affect other components of the lipid profile, have </w:t>
      </w:r>
      <w:r w:rsidR="004C5F80">
        <w:rPr>
          <w:rFonts w:cs="Calibri"/>
        </w:rPr>
        <w:t>had minimal impact</w:t>
      </w:r>
      <w:r w:rsidR="00C8017C">
        <w:rPr>
          <w:rFonts w:cs="Calibri"/>
        </w:rPr>
        <w:t xml:space="preserve"> on CVD outcomes.</w:t>
      </w:r>
      <w:r w:rsidR="00094F58">
        <w:rPr>
          <w:rFonts w:cs="Calibri"/>
          <w:vertAlign w:val="superscript"/>
        </w:rPr>
        <w:t>23-26</w:t>
      </w:r>
      <w:r w:rsidR="00094F58">
        <w:rPr>
          <w:rFonts w:cs="Calibri"/>
        </w:rPr>
        <w:t xml:space="preserve"> </w:t>
      </w:r>
      <w:r w:rsidR="00094F58" w:rsidRPr="0054379A">
        <w:rPr>
          <w:rFonts w:cs="Calibri"/>
        </w:rPr>
        <w:t xml:space="preserve"> </w:t>
      </w:r>
      <w:r w:rsidR="00730572" w:rsidRPr="0054379A">
        <w:rPr>
          <w:rFonts w:cs="Calibri"/>
        </w:rPr>
        <w:t xml:space="preserve"> </w:t>
      </w:r>
    </w:p>
    <w:p w:rsidR="00A70A16" w:rsidRPr="0054379A" w:rsidRDefault="00A70A16" w:rsidP="00A70A16">
      <w:pPr>
        <w:spacing w:after="0"/>
        <w:rPr>
          <w:rFonts w:cs="Calibri"/>
        </w:rPr>
      </w:pPr>
    </w:p>
    <w:p w:rsidR="002D1A79" w:rsidRPr="00A70A16" w:rsidRDefault="002D1A79" w:rsidP="00A70A16">
      <w:pPr>
        <w:spacing w:after="0"/>
        <w:rPr>
          <w:rFonts w:cs="Calibri"/>
          <w:b/>
          <w:color w:val="C00000"/>
          <w:sz w:val="24"/>
          <w:szCs w:val="24"/>
        </w:rPr>
      </w:pPr>
      <w:r w:rsidRPr="00A70A16">
        <w:rPr>
          <w:rFonts w:cs="Calibri"/>
          <w:b/>
          <w:color w:val="C00000"/>
          <w:sz w:val="24"/>
          <w:szCs w:val="24"/>
        </w:rPr>
        <w:t>Historical classification of HTG phenotypes</w:t>
      </w:r>
    </w:p>
    <w:p w:rsidR="00173214" w:rsidRDefault="002D1A79" w:rsidP="00A70A16">
      <w:pPr>
        <w:spacing w:after="0"/>
        <w:rPr>
          <w:rFonts w:cs="Calibri"/>
        </w:rPr>
      </w:pPr>
      <w:r w:rsidRPr="003074E2">
        <w:rPr>
          <w:rFonts w:cs="Calibri"/>
        </w:rPr>
        <w:t xml:space="preserve">Phenotypic heterogeneity among HTG </w:t>
      </w:r>
      <w:r w:rsidR="003074E2">
        <w:rPr>
          <w:rFonts w:cs="Calibri"/>
        </w:rPr>
        <w:t>individual</w:t>
      </w:r>
      <w:r w:rsidRPr="003074E2">
        <w:rPr>
          <w:rFonts w:cs="Calibri"/>
        </w:rPr>
        <w:t xml:space="preserve">s </w:t>
      </w:r>
      <w:r w:rsidR="004C5F80">
        <w:rPr>
          <w:rFonts w:cs="Calibri"/>
        </w:rPr>
        <w:t>was</w:t>
      </w:r>
      <w:r w:rsidRPr="003074E2">
        <w:rPr>
          <w:rFonts w:cs="Calibri"/>
        </w:rPr>
        <w:t xml:space="preserve"> defined in the past by qualitative and quantitative differences in plasma lipoproteins. In the pre-genomic era, the Fredrickson or </w:t>
      </w:r>
      <w:r w:rsidR="00CB09CD">
        <w:rPr>
          <w:rFonts w:cs="Calibri"/>
        </w:rPr>
        <w:t>World Health Organization (WHO)</w:t>
      </w:r>
      <w:r w:rsidRPr="003074E2">
        <w:rPr>
          <w:rFonts w:cs="Calibri"/>
        </w:rPr>
        <w:t xml:space="preserve"> International Classification of Diseases (ICD) hyperlipoprotein</w:t>
      </w:r>
      <w:r w:rsidR="007B1479">
        <w:rPr>
          <w:rFonts w:cs="Calibri"/>
        </w:rPr>
        <w:t>a</w:t>
      </w:r>
      <w:r w:rsidRPr="003074E2">
        <w:rPr>
          <w:rFonts w:cs="Calibri"/>
        </w:rPr>
        <w:t>emia (HLP) phenotypes</w:t>
      </w:r>
      <w:r w:rsidR="004C5F80">
        <w:rPr>
          <w:rFonts w:cs="Calibri"/>
        </w:rPr>
        <w:t xml:space="preserve"> </w:t>
      </w:r>
      <w:r w:rsidRPr="003074E2">
        <w:rPr>
          <w:rFonts w:cs="Calibri"/>
        </w:rPr>
        <w:t xml:space="preserve">was based on </w:t>
      </w:r>
      <w:r w:rsidR="00CB09CD">
        <w:rPr>
          <w:rFonts w:cs="Calibri"/>
        </w:rPr>
        <w:t xml:space="preserve">the </w:t>
      </w:r>
      <w:r w:rsidRPr="003074E2">
        <w:rPr>
          <w:rFonts w:cs="Calibri"/>
        </w:rPr>
        <w:t>electrophoretic patterns of lipoprotein fractions (</w:t>
      </w:r>
      <w:r w:rsidR="00896E35">
        <w:rPr>
          <w:rFonts w:cs="Calibri"/>
        </w:rPr>
        <w:t xml:space="preserve">see </w:t>
      </w:r>
      <w:r w:rsidRPr="00896E35">
        <w:rPr>
          <w:rFonts w:cs="Calibri"/>
          <w:b/>
        </w:rPr>
        <w:t>Table 2</w:t>
      </w:r>
      <w:r w:rsidRPr="003074E2">
        <w:rPr>
          <w:rFonts w:cs="Calibri"/>
        </w:rPr>
        <w:t xml:space="preserve">). Five of the </w:t>
      </w:r>
      <w:r w:rsidR="00CB09CD">
        <w:rPr>
          <w:rFonts w:cs="Calibri"/>
        </w:rPr>
        <w:t>six</w:t>
      </w:r>
      <w:r w:rsidRPr="003074E2">
        <w:rPr>
          <w:rFonts w:cs="Calibri"/>
        </w:rPr>
        <w:t xml:space="preserve"> WHO ICD phenotypes include HTG in their definitions</w:t>
      </w:r>
      <w:r w:rsidR="00502F41">
        <w:rPr>
          <w:rFonts w:cs="Calibri"/>
        </w:rPr>
        <w:t>,</w:t>
      </w:r>
      <w:r w:rsidR="00173214">
        <w:rPr>
          <w:rFonts w:cs="Calibri"/>
        </w:rPr>
        <w:t xml:space="preserve"> the only exception </w:t>
      </w:r>
      <w:r w:rsidR="00502F41">
        <w:rPr>
          <w:rFonts w:cs="Calibri"/>
        </w:rPr>
        <w:t>being</w:t>
      </w:r>
      <w:r w:rsidR="00173214">
        <w:rPr>
          <w:rFonts w:cs="Calibri"/>
        </w:rPr>
        <w:t xml:space="preserve"> familial hypercholesterol</w:t>
      </w:r>
      <w:r w:rsidR="007B1479">
        <w:rPr>
          <w:rFonts w:cs="Calibri"/>
        </w:rPr>
        <w:t>a</w:t>
      </w:r>
      <w:r w:rsidR="00173214">
        <w:rPr>
          <w:rFonts w:cs="Calibri"/>
        </w:rPr>
        <w:t>emia (HLP type 2A)</w:t>
      </w:r>
      <w:r w:rsidR="007308F8">
        <w:rPr>
          <w:rFonts w:cs="Calibri"/>
        </w:rPr>
        <w:t>.</w:t>
      </w:r>
      <w:r w:rsidR="00611704" w:rsidRPr="00997DBF">
        <w:rPr>
          <w:rFonts w:cs="Calibri"/>
          <w:vertAlign w:val="superscript"/>
        </w:rPr>
        <w:t>2</w:t>
      </w:r>
      <w:r w:rsidR="00094F58">
        <w:rPr>
          <w:rFonts w:cs="Calibri"/>
          <w:vertAlign w:val="superscript"/>
        </w:rPr>
        <w:t>7,28</w:t>
      </w:r>
      <w:r w:rsidRPr="003074E2">
        <w:rPr>
          <w:rFonts w:cs="Calibri"/>
        </w:rPr>
        <w:t xml:space="preserve"> </w:t>
      </w:r>
      <w:r w:rsidR="00173214">
        <w:rPr>
          <w:rFonts w:cs="Calibri"/>
        </w:rPr>
        <w:t xml:space="preserve"> </w:t>
      </w:r>
    </w:p>
    <w:p w:rsidR="00BF57A9" w:rsidRDefault="00BF57A9">
      <w:pPr>
        <w:spacing w:after="0" w:line="240" w:lineRule="auto"/>
        <w:rPr>
          <w:rFonts w:cs="Calibri"/>
        </w:rPr>
        <w:sectPr w:rsidR="00BF57A9" w:rsidSect="00BF57A9">
          <w:type w:val="continuous"/>
          <w:pgSz w:w="12240" w:h="15840"/>
          <w:pgMar w:top="1440" w:right="1440" w:bottom="1440" w:left="1440" w:header="708" w:footer="708" w:gutter="0"/>
          <w:cols w:num="2" w:space="708"/>
          <w:docGrid w:linePitch="360"/>
        </w:sectPr>
      </w:pPr>
    </w:p>
    <w:p w:rsidR="00896E35" w:rsidRDefault="00896E35">
      <w:pPr>
        <w:spacing w:after="0" w:line="240" w:lineRule="auto"/>
        <w:rPr>
          <w:rFonts w:cs="Calibri"/>
        </w:rPr>
      </w:pPr>
      <w:r>
        <w:rPr>
          <w:rFonts w:cs="Calibri"/>
        </w:rPr>
        <w:lastRenderedPageBreak/>
        <w:br w:type="page"/>
      </w:r>
    </w:p>
    <w:p w:rsidR="00896E35" w:rsidRPr="00896E35" w:rsidRDefault="00896E35" w:rsidP="00651E34">
      <w:pPr>
        <w:spacing w:line="240" w:lineRule="auto"/>
        <w:rPr>
          <w:rFonts w:cs="Calibri"/>
          <w:b/>
          <w:color w:val="C00000"/>
        </w:rPr>
      </w:pPr>
      <w:r w:rsidRPr="00896E35">
        <w:rPr>
          <w:rFonts w:cs="Calibri"/>
          <w:b/>
          <w:color w:val="C00000"/>
        </w:rPr>
        <w:lastRenderedPageBreak/>
        <w:t xml:space="preserve">Table 2. Summary of classical hyperlipoproteinaemia phenotypes </w:t>
      </w:r>
    </w:p>
    <w:tbl>
      <w:tblPr>
        <w:tblW w:w="11199" w:type="dxa"/>
        <w:tblInd w:w="-743" w:type="dxa"/>
        <w:shd w:val="clear" w:color="auto" w:fill="EEECE1" w:themeFill="background2"/>
        <w:tblLayout w:type="fixed"/>
        <w:tblLook w:val="01E0"/>
      </w:tblPr>
      <w:tblGrid>
        <w:gridCol w:w="1418"/>
        <w:gridCol w:w="2552"/>
        <w:gridCol w:w="1417"/>
        <w:gridCol w:w="1276"/>
        <w:gridCol w:w="1276"/>
        <w:gridCol w:w="3260"/>
      </w:tblGrid>
      <w:tr w:rsidR="00896E35" w:rsidRPr="006C6D7A" w:rsidTr="006D52E0">
        <w:tc>
          <w:tcPr>
            <w:tcW w:w="1418" w:type="dxa"/>
            <w:tcBorders>
              <w:top w:val="single" w:sz="4" w:space="0" w:color="auto"/>
              <w:left w:val="single" w:sz="4" w:space="0" w:color="auto"/>
              <w:bottom w:val="single" w:sz="4" w:space="0" w:color="auto"/>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WHO ICD number</w:t>
            </w:r>
          </w:p>
        </w:tc>
        <w:tc>
          <w:tcPr>
            <w:tcW w:w="2552" w:type="dxa"/>
            <w:tcBorders>
              <w:top w:val="single" w:sz="4" w:space="0" w:color="auto"/>
              <w:left w:val="nil"/>
              <w:bottom w:val="single" w:sz="4" w:space="0" w:color="auto"/>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Frederickson HLP phenotype</w:t>
            </w:r>
          </w:p>
        </w:tc>
        <w:tc>
          <w:tcPr>
            <w:tcW w:w="1417" w:type="dxa"/>
            <w:tcBorders>
              <w:top w:val="single" w:sz="4" w:space="0" w:color="auto"/>
              <w:left w:val="nil"/>
              <w:bottom w:val="single" w:sz="4" w:space="0" w:color="auto"/>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MIM number</w:t>
            </w:r>
          </w:p>
        </w:tc>
        <w:tc>
          <w:tcPr>
            <w:tcW w:w="1276" w:type="dxa"/>
            <w:tcBorders>
              <w:top w:val="single" w:sz="4" w:space="0" w:color="auto"/>
              <w:left w:val="nil"/>
              <w:bottom w:val="single" w:sz="4" w:space="0" w:color="auto"/>
              <w:right w:val="nil"/>
            </w:tcBorders>
            <w:shd w:val="clear" w:color="auto" w:fill="F8ECEC"/>
            <w:hideMark/>
          </w:tcPr>
          <w:p w:rsidR="00896E35" w:rsidRPr="00896E35" w:rsidRDefault="00896E35" w:rsidP="00BF57A9">
            <w:pPr>
              <w:spacing w:after="0"/>
              <w:rPr>
                <w:rFonts w:cs="Calibri"/>
                <w:b/>
                <w:color w:val="C00000"/>
                <w:sz w:val="20"/>
                <w:szCs w:val="20"/>
                <w:lang w:val="en-CA" w:eastAsia="en-CA"/>
              </w:rPr>
            </w:pPr>
            <w:r w:rsidRPr="00896E35">
              <w:rPr>
                <w:rFonts w:cs="Calibri"/>
                <w:b/>
                <w:color w:val="C00000"/>
                <w:sz w:val="20"/>
                <w:szCs w:val="20"/>
              </w:rPr>
              <w:t>Primary lipid change</w:t>
            </w:r>
          </w:p>
        </w:tc>
        <w:tc>
          <w:tcPr>
            <w:tcW w:w="1276" w:type="dxa"/>
            <w:tcBorders>
              <w:top w:val="single" w:sz="4" w:space="0" w:color="auto"/>
              <w:left w:val="nil"/>
              <w:bottom w:val="single" w:sz="4" w:space="0" w:color="auto"/>
              <w:right w:val="nil"/>
            </w:tcBorders>
            <w:shd w:val="clear" w:color="auto" w:fill="F8ECEC"/>
            <w:hideMark/>
          </w:tcPr>
          <w:p w:rsidR="00896E35" w:rsidRPr="00896E71" w:rsidRDefault="00896E35" w:rsidP="00BF57A9">
            <w:pPr>
              <w:spacing w:after="0"/>
              <w:rPr>
                <w:rFonts w:cs="Calibri"/>
                <w:b/>
                <w:color w:val="C00000"/>
                <w:sz w:val="20"/>
                <w:szCs w:val="20"/>
              </w:rPr>
            </w:pPr>
            <w:r w:rsidRPr="00896E71">
              <w:rPr>
                <w:rFonts w:cs="Calibri"/>
                <w:b/>
                <w:color w:val="C00000"/>
                <w:sz w:val="20"/>
                <w:szCs w:val="20"/>
              </w:rPr>
              <w:t>Primary</w:t>
            </w:r>
          </w:p>
          <w:p w:rsidR="00896E35" w:rsidRPr="00896E71" w:rsidRDefault="00896E35" w:rsidP="00BF57A9">
            <w:pPr>
              <w:spacing w:after="0"/>
              <w:rPr>
                <w:rFonts w:cs="Calibri"/>
                <w:b/>
                <w:color w:val="C00000"/>
                <w:sz w:val="20"/>
                <w:szCs w:val="20"/>
                <w:lang w:val="en-CA" w:eastAsia="en-CA"/>
              </w:rPr>
            </w:pPr>
            <w:r w:rsidRPr="00896E71">
              <w:rPr>
                <w:rFonts w:cs="Calibri"/>
                <w:b/>
                <w:color w:val="C00000"/>
                <w:sz w:val="20"/>
                <w:szCs w:val="20"/>
              </w:rPr>
              <w:t>lipoprotein change</w:t>
            </w:r>
          </w:p>
        </w:tc>
        <w:tc>
          <w:tcPr>
            <w:tcW w:w="3260" w:type="dxa"/>
            <w:tcBorders>
              <w:top w:val="single" w:sz="4" w:space="0" w:color="auto"/>
              <w:left w:val="nil"/>
              <w:bottom w:val="single" w:sz="4" w:space="0" w:color="auto"/>
              <w:right w:val="single" w:sz="4" w:space="0" w:color="auto"/>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Genetics</w:t>
            </w:r>
          </w:p>
        </w:tc>
      </w:tr>
      <w:tr w:rsidR="00896E35" w:rsidRPr="006C6D7A" w:rsidTr="006D52E0">
        <w:trPr>
          <w:trHeight w:val="569"/>
        </w:trPr>
        <w:tc>
          <w:tcPr>
            <w:tcW w:w="1418" w:type="dxa"/>
            <w:tcBorders>
              <w:top w:val="single" w:sz="4" w:space="0" w:color="auto"/>
              <w:left w:val="single" w:sz="4" w:space="0" w:color="auto"/>
              <w:bottom w:val="nil"/>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E78·3</w:t>
            </w:r>
          </w:p>
        </w:tc>
        <w:tc>
          <w:tcPr>
            <w:tcW w:w="2552" w:type="dxa"/>
            <w:tcBorders>
              <w:top w:val="single" w:sz="4" w:space="0" w:color="auto"/>
              <w:left w:val="nil"/>
              <w:bottom w:val="nil"/>
              <w:right w:val="nil"/>
            </w:tcBorders>
            <w:shd w:val="clear" w:color="auto" w:fill="F8ECEC"/>
          </w:tcPr>
          <w:p w:rsidR="00896E35" w:rsidRPr="00896E35" w:rsidRDefault="00896E35" w:rsidP="00BF57A9">
            <w:pPr>
              <w:spacing w:after="0"/>
              <w:rPr>
                <w:rFonts w:cs="Calibri"/>
                <w:sz w:val="20"/>
                <w:szCs w:val="20"/>
              </w:rPr>
            </w:pPr>
            <w:r w:rsidRPr="00896E35">
              <w:rPr>
                <w:rFonts w:cs="Calibri"/>
                <w:sz w:val="20"/>
                <w:szCs w:val="20"/>
              </w:rPr>
              <w:t xml:space="preserve">HLP type 1 </w:t>
            </w:r>
          </w:p>
          <w:p w:rsidR="00896E35" w:rsidRPr="00896E35" w:rsidRDefault="00896E35" w:rsidP="00BF57A9">
            <w:pPr>
              <w:spacing w:after="0"/>
              <w:rPr>
                <w:rFonts w:cs="Calibri"/>
                <w:sz w:val="20"/>
                <w:szCs w:val="20"/>
              </w:rPr>
            </w:pPr>
            <w:r w:rsidRPr="00896E35">
              <w:rPr>
                <w:rFonts w:cs="Calibri"/>
                <w:sz w:val="20"/>
                <w:szCs w:val="20"/>
              </w:rPr>
              <w:t xml:space="preserve">Familial chylomicronaemia </w:t>
            </w:r>
          </w:p>
          <w:p w:rsidR="00896E35" w:rsidRPr="00896E35" w:rsidRDefault="00896E35" w:rsidP="00BF57A9">
            <w:pPr>
              <w:spacing w:after="0"/>
              <w:rPr>
                <w:rFonts w:cs="Calibri"/>
                <w:sz w:val="20"/>
                <w:szCs w:val="20"/>
                <w:lang w:val="en-CA" w:eastAsia="en-CA"/>
              </w:rPr>
            </w:pPr>
          </w:p>
        </w:tc>
        <w:tc>
          <w:tcPr>
            <w:tcW w:w="1417" w:type="dxa"/>
            <w:tcBorders>
              <w:top w:val="single" w:sz="4" w:space="0" w:color="auto"/>
              <w:left w:val="nil"/>
              <w:bottom w:val="nil"/>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238600</w:t>
            </w:r>
          </w:p>
        </w:tc>
        <w:tc>
          <w:tcPr>
            <w:tcW w:w="1276" w:type="dxa"/>
            <w:tcBorders>
              <w:top w:val="single" w:sz="4" w:space="0" w:color="auto"/>
              <w:left w:val="nil"/>
              <w:bottom w:val="nil"/>
              <w:right w:val="nil"/>
            </w:tcBorders>
            <w:shd w:val="clear" w:color="auto" w:fill="F8ECEC"/>
            <w:hideMark/>
          </w:tcPr>
          <w:p w:rsidR="00896E35" w:rsidRPr="00896E35" w:rsidRDefault="00896E35" w:rsidP="00BF57A9">
            <w:pPr>
              <w:spacing w:after="0"/>
              <w:rPr>
                <w:rFonts w:cs="Calibri"/>
                <w:b/>
                <w:color w:val="C00000"/>
                <w:sz w:val="20"/>
                <w:szCs w:val="20"/>
                <w:lang w:val="en-CA" w:eastAsia="en-CA"/>
              </w:rPr>
            </w:pPr>
            <w:r w:rsidRPr="00896E35">
              <w:rPr>
                <w:rFonts w:cs="Calibri"/>
                <w:b/>
                <w:color w:val="C00000"/>
                <w:sz w:val="20"/>
                <w:szCs w:val="20"/>
              </w:rPr>
              <w:t>↑TG</w:t>
            </w:r>
          </w:p>
        </w:tc>
        <w:tc>
          <w:tcPr>
            <w:tcW w:w="1276" w:type="dxa"/>
            <w:tcBorders>
              <w:top w:val="single" w:sz="4" w:space="0" w:color="auto"/>
              <w:left w:val="nil"/>
              <w:bottom w:val="nil"/>
              <w:right w:val="nil"/>
            </w:tcBorders>
            <w:shd w:val="clear" w:color="auto" w:fill="F8ECEC"/>
            <w:hideMark/>
          </w:tcPr>
          <w:p w:rsidR="00896E35" w:rsidRPr="00896E71" w:rsidRDefault="00896E35" w:rsidP="00BF57A9">
            <w:pPr>
              <w:spacing w:after="0"/>
              <w:rPr>
                <w:rFonts w:cs="Calibri"/>
                <w:b/>
                <w:color w:val="C00000"/>
                <w:sz w:val="20"/>
                <w:szCs w:val="20"/>
                <w:lang w:val="en-CA" w:eastAsia="en-CA"/>
              </w:rPr>
            </w:pPr>
            <w:r w:rsidRPr="00896E71">
              <w:rPr>
                <w:rFonts w:cs="Calibri"/>
                <w:b/>
                <w:color w:val="C00000"/>
                <w:sz w:val="20"/>
                <w:szCs w:val="20"/>
              </w:rPr>
              <w:t>↑CM</w:t>
            </w:r>
          </w:p>
        </w:tc>
        <w:tc>
          <w:tcPr>
            <w:tcW w:w="3260" w:type="dxa"/>
            <w:tcBorders>
              <w:top w:val="single" w:sz="4" w:space="0" w:color="auto"/>
              <w:left w:val="nil"/>
              <w:bottom w:val="nil"/>
              <w:right w:val="single" w:sz="4" w:space="0" w:color="auto"/>
            </w:tcBorders>
            <w:shd w:val="clear" w:color="auto" w:fill="F8ECEC"/>
            <w:hideMark/>
          </w:tcPr>
          <w:p w:rsidR="00896E35" w:rsidRDefault="00896E35" w:rsidP="00BF57A9">
            <w:pPr>
              <w:spacing w:after="0"/>
              <w:rPr>
                <w:rFonts w:cs="Calibri"/>
                <w:sz w:val="20"/>
                <w:szCs w:val="20"/>
              </w:rPr>
            </w:pPr>
            <w:r w:rsidRPr="00896E35">
              <w:rPr>
                <w:rFonts w:cs="Calibri"/>
                <w:sz w:val="20"/>
                <w:szCs w:val="20"/>
              </w:rPr>
              <w:t xml:space="preserve">Monogenic; AR due to 2 mutant alleles of </w:t>
            </w:r>
            <w:r w:rsidRPr="00896E35">
              <w:rPr>
                <w:rFonts w:cs="Calibri"/>
                <w:i/>
                <w:sz w:val="20"/>
                <w:szCs w:val="20"/>
              </w:rPr>
              <w:t>LPL, APOC2, APOA5</w:t>
            </w:r>
            <w:r w:rsidRPr="00896E35">
              <w:rPr>
                <w:rFonts w:cs="Calibri"/>
                <w:sz w:val="20"/>
                <w:szCs w:val="20"/>
              </w:rPr>
              <w:t xml:space="preserve">, </w:t>
            </w:r>
            <w:r w:rsidRPr="00896E35">
              <w:rPr>
                <w:rFonts w:cs="Calibri"/>
                <w:i/>
                <w:sz w:val="20"/>
                <w:szCs w:val="20"/>
              </w:rPr>
              <w:t>LMF1</w:t>
            </w:r>
            <w:r w:rsidRPr="00896E35">
              <w:rPr>
                <w:rFonts w:cs="Calibri"/>
                <w:sz w:val="20"/>
                <w:szCs w:val="20"/>
              </w:rPr>
              <w:t xml:space="preserve">, </w:t>
            </w:r>
            <w:r w:rsidRPr="00896E35">
              <w:rPr>
                <w:rFonts w:cs="Calibri"/>
                <w:i/>
                <w:sz w:val="20"/>
                <w:szCs w:val="20"/>
              </w:rPr>
              <w:t>GPIHBP1,</w:t>
            </w:r>
            <w:r w:rsidRPr="00896E35">
              <w:rPr>
                <w:rFonts w:cs="Calibri"/>
                <w:sz w:val="20"/>
                <w:szCs w:val="20"/>
              </w:rPr>
              <w:t xml:space="preserve"> or </w:t>
            </w:r>
            <w:r w:rsidRPr="00896E35">
              <w:rPr>
                <w:rFonts w:cs="Calibri"/>
                <w:i/>
                <w:sz w:val="20"/>
                <w:szCs w:val="20"/>
              </w:rPr>
              <w:t>GPD1</w:t>
            </w:r>
            <w:r w:rsidRPr="00896E35">
              <w:rPr>
                <w:rFonts w:cs="Calibri"/>
                <w:sz w:val="20"/>
                <w:szCs w:val="20"/>
              </w:rPr>
              <w:t>; presentation mainly paediatric or early adulthood.</w:t>
            </w:r>
          </w:p>
          <w:p w:rsidR="00896E35" w:rsidRPr="00896E35" w:rsidRDefault="00896E35" w:rsidP="00BF57A9">
            <w:pPr>
              <w:spacing w:after="0"/>
              <w:rPr>
                <w:rFonts w:cs="Calibri"/>
                <w:sz w:val="20"/>
                <w:szCs w:val="20"/>
              </w:rPr>
            </w:pPr>
          </w:p>
        </w:tc>
      </w:tr>
      <w:tr w:rsidR="00896E35" w:rsidRPr="006C6D7A" w:rsidTr="006D52E0">
        <w:tc>
          <w:tcPr>
            <w:tcW w:w="1418" w:type="dxa"/>
            <w:tcBorders>
              <w:left w:val="single" w:sz="4" w:space="0" w:color="auto"/>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E78·0</w:t>
            </w:r>
          </w:p>
        </w:tc>
        <w:tc>
          <w:tcPr>
            <w:tcW w:w="2552" w:type="dxa"/>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 xml:space="preserve">HLP type 2A </w:t>
            </w:r>
          </w:p>
          <w:p w:rsidR="00896E35" w:rsidRPr="00896E35" w:rsidRDefault="00896E35" w:rsidP="00BF57A9">
            <w:pPr>
              <w:spacing w:after="0"/>
              <w:rPr>
                <w:rFonts w:cs="Calibri"/>
                <w:sz w:val="20"/>
                <w:szCs w:val="20"/>
                <w:lang w:val="en-CA" w:eastAsia="en-CA"/>
              </w:rPr>
            </w:pPr>
            <w:r w:rsidRPr="00896E35">
              <w:rPr>
                <w:rFonts w:cs="Calibri"/>
                <w:sz w:val="20"/>
                <w:szCs w:val="20"/>
              </w:rPr>
              <w:t xml:space="preserve">Familial hypercholesterolaemia </w:t>
            </w:r>
          </w:p>
        </w:tc>
        <w:tc>
          <w:tcPr>
            <w:tcW w:w="1417" w:type="dxa"/>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143890</w:t>
            </w:r>
          </w:p>
        </w:tc>
        <w:tc>
          <w:tcPr>
            <w:tcW w:w="1276" w:type="dxa"/>
            <w:shd w:val="clear" w:color="auto" w:fill="F8ECEC"/>
            <w:hideMark/>
          </w:tcPr>
          <w:p w:rsidR="00896E35" w:rsidRPr="00896E35" w:rsidRDefault="00896E35" w:rsidP="00BF57A9">
            <w:pPr>
              <w:spacing w:after="0"/>
              <w:rPr>
                <w:rFonts w:cs="Calibri"/>
                <w:b/>
                <w:color w:val="C00000"/>
                <w:sz w:val="20"/>
                <w:szCs w:val="20"/>
                <w:lang w:val="en-CA" w:eastAsia="en-CA"/>
              </w:rPr>
            </w:pPr>
            <w:r w:rsidRPr="00896E35">
              <w:rPr>
                <w:rFonts w:cs="Calibri"/>
                <w:b/>
                <w:color w:val="C00000"/>
                <w:sz w:val="20"/>
                <w:szCs w:val="20"/>
              </w:rPr>
              <w:t>↑TC</w:t>
            </w:r>
          </w:p>
        </w:tc>
        <w:tc>
          <w:tcPr>
            <w:tcW w:w="1276" w:type="dxa"/>
            <w:shd w:val="clear" w:color="auto" w:fill="F8ECEC"/>
            <w:hideMark/>
          </w:tcPr>
          <w:p w:rsidR="00896E35" w:rsidRPr="00896E71" w:rsidRDefault="00896E35" w:rsidP="00BF57A9">
            <w:pPr>
              <w:spacing w:after="0"/>
              <w:rPr>
                <w:rFonts w:cs="Calibri"/>
                <w:b/>
                <w:color w:val="C00000"/>
                <w:sz w:val="20"/>
                <w:szCs w:val="20"/>
                <w:lang w:val="en-CA" w:eastAsia="en-CA"/>
              </w:rPr>
            </w:pPr>
            <w:r w:rsidRPr="00896E71">
              <w:rPr>
                <w:rFonts w:cs="Calibri"/>
                <w:b/>
                <w:color w:val="C00000"/>
                <w:sz w:val="20"/>
                <w:szCs w:val="20"/>
              </w:rPr>
              <w:t>↑LDL</w:t>
            </w:r>
          </w:p>
        </w:tc>
        <w:tc>
          <w:tcPr>
            <w:tcW w:w="3260" w:type="dxa"/>
            <w:tcBorders>
              <w:right w:val="single" w:sz="4" w:space="0" w:color="auto"/>
            </w:tcBorders>
            <w:shd w:val="clear" w:color="auto" w:fill="F8ECEC"/>
            <w:hideMark/>
          </w:tcPr>
          <w:p w:rsidR="00896E35" w:rsidRDefault="00896E35" w:rsidP="00BF57A9">
            <w:pPr>
              <w:spacing w:after="0"/>
              <w:rPr>
                <w:rFonts w:cs="Calibri"/>
                <w:i/>
                <w:sz w:val="20"/>
                <w:szCs w:val="20"/>
              </w:rPr>
            </w:pPr>
            <w:r w:rsidRPr="00896E35">
              <w:rPr>
                <w:rFonts w:cs="Calibri"/>
                <w:sz w:val="20"/>
                <w:szCs w:val="20"/>
              </w:rPr>
              <w:t xml:space="preserve">Monogenic; ACD, Heterozygous form resulting from one mutant allele of </w:t>
            </w:r>
            <w:r w:rsidRPr="00896E35">
              <w:rPr>
                <w:rFonts w:cs="Calibri"/>
                <w:i/>
                <w:sz w:val="20"/>
                <w:szCs w:val="20"/>
              </w:rPr>
              <w:t>LDLR</w:t>
            </w:r>
            <w:r w:rsidRPr="00896E35">
              <w:rPr>
                <w:rFonts w:cs="Calibri"/>
                <w:sz w:val="20"/>
                <w:szCs w:val="20"/>
              </w:rPr>
              <w:t xml:space="preserve">, </w:t>
            </w:r>
            <w:r w:rsidRPr="00896E35">
              <w:rPr>
                <w:rFonts w:cs="Calibri"/>
                <w:i/>
                <w:sz w:val="20"/>
                <w:szCs w:val="20"/>
              </w:rPr>
              <w:t>APOB,</w:t>
            </w:r>
            <w:r w:rsidRPr="00896E35">
              <w:rPr>
                <w:rFonts w:cs="Calibri"/>
                <w:sz w:val="20"/>
                <w:szCs w:val="20"/>
              </w:rPr>
              <w:t xml:space="preserve"> or </w:t>
            </w:r>
            <w:r w:rsidRPr="00896E35">
              <w:rPr>
                <w:rFonts w:cs="Calibri"/>
                <w:i/>
                <w:sz w:val="20"/>
                <w:szCs w:val="20"/>
              </w:rPr>
              <w:t xml:space="preserve">PCSK9; </w:t>
            </w:r>
            <w:r w:rsidRPr="00896E35">
              <w:rPr>
                <w:rFonts w:cs="Calibri"/>
                <w:sz w:val="20"/>
                <w:szCs w:val="20"/>
              </w:rPr>
              <w:t xml:space="preserve">Homozygous form resulting from two mutants alleles of these, or of </w:t>
            </w:r>
            <w:r w:rsidRPr="00896E35">
              <w:rPr>
                <w:rFonts w:cs="Calibri"/>
                <w:i/>
                <w:sz w:val="20"/>
                <w:szCs w:val="20"/>
              </w:rPr>
              <w:t>LDLRAP1.</w:t>
            </w:r>
          </w:p>
          <w:p w:rsidR="00896E35" w:rsidRPr="00896E35" w:rsidRDefault="00896E35" w:rsidP="00BF57A9">
            <w:pPr>
              <w:spacing w:after="0"/>
              <w:rPr>
                <w:rFonts w:cs="Calibri"/>
                <w:sz w:val="20"/>
                <w:szCs w:val="20"/>
                <w:lang w:val="en-CA" w:eastAsia="en-CA"/>
              </w:rPr>
            </w:pPr>
          </w:p>
        </w:tc>
      </w:tr>
      <w:tr w:rsidR="00896E35" w:rsidRPr="006C6D7A" w:rsidTr="006D52E0">
        <w:tc>
          <w:tcPr>
            <w:tcW w:w="1418" w:type="dxa"/>
            <w:tcBorders>
              <w:left w:val="single" w:sz="4" w:space="0" w:color="auto"/>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E78·4</w:t>
            </w:r>
          </w:p>
        </w:tc>
        <w:tc>
          <w:tcPr>
            <w:tcW w:w="2552" w:type="dxa"/>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 xml:space="preserve">HLP type 2B </w:t>
            </w:r>
          </w:p>
          <w:p w:rsidR="00896E35" w:rsidRPr="00896E35" w:rsidRDefault="00896E35" w:rsidP="00BF57A9">
            <w:pPr>
              <w:spacing w:after="0"/>
              <w:rPr>
                <w:rFonts w:cs="Calibri"/>
                <w:sz w:val="20"/>
                <w:szCs w:val="20"/>
                <w:lang w:val="en-CA" w:eastAsia="en-CA"/>
              </w:rPr>
            </w:pPr>
            <w:r w:rsidRPr="00896E35">
              <w:rPr>
                <w:rFonts w:cs="Calibri"/>
                <w:sz w:val="20"/>
                <w:szCs w:val="20"/>
              </w:rPr>
              <w:t xml:space="preserve">Combined hyperlipoproteinaemia </w:t>
            </w:r>
          </w:p>
        </w:tc>
        <w:tc>
          <w:tcPr>
            <w:tcW w:w="1417" w:type="dxa"/>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144250</w:t>
            </w:r>
          </w:p>
        </w:tc>
        <w:tc>
          <w:tcPr>
            <w:tcW w:w="1276" w:type="dxa"/>
            <w:shd w:val="clear" w:color="auto" w:fill="F8ECEC"/>
            <w:hideMark/>
          </w:tcPr>
          <w:p w:rsidR="00896E35" w:rsidRPr="00896E35" w:rsidRDefault="00896E35" w:rsidP="00BF57A9">
            <w:pPr>
              <w:spacing w:after="0"/>
              <w:rPr>
                <w:rFonts w:cs="Calibri"/>
                <w:b/>
                <w:color w:val="C00000"/>
                <w:sz w:val="20"/>
                <w:szCs w:val="20"/>
                <w:lang w:val="en-CA" w:eastAsia="en-CA"/>
              </w:rPr>
            </w:pPr>
            <w:r w:rsidRPr="00896E35">
              <w:rPr>
                <w:rFonts w:cs="Calibri"/>
                <w:b/>
                <w:color w:val="C00000"/>
                <w:sz w:val="20"/>
                <w:szCs w:val="20"/>
              </w:rPr>
              <w:t>↑TC, ↑TG</w:t>
            </w:r>
          </w:p>
        </w:tc>
        <w:tc>
          <w:tcPr>
            <w:tcW w:w="1276" w:type="dxa"/>
            <w:shd w:val="clear" w:color="auto" w:fill="F8ECEC"/>
            <w:hideMark/>
          </w:tcPr>
          <w:p w:rsidR="00896E35" w:rsidRPr="00896E71" w:rsidRDefault="00896E35" w:rsidP="00BF57A9">
            <w:pPr>
              <w:spacing w:after="0"/>
              <w:rPr>
                <w:rFonts w:cs="Calibri"/>
                <w:b/>
                <w:color w:val="C00000"/>
                <w:sz w:val="20"/>
                <w:szCs w:val="20"/>
                <w:lang w:val="en-CA" w:eastAsia="en-CA"/>
              </w:rPr>
            </w:pPr>
            <w:r w:rsidRPr="00896E71">
              <w:rPr>
                <w:rFonts w:cs="Calibri"/>
                <w:b/>
                <w:color w:val="C00000"/>
                <w:sz w:val="20"/>
                <w:szCs w:val="20"/>
              </w:rPr>
              <w:t xml:space="preserve">↑VLDL, </w:t>
            </w:r>
          </w:p>
          <w:p w:rsidR="00896E35" w:rsidRPr="00896E71" w:rsidRDefault="00896E35" w:rsidP="00BF57A9">
            <w:pPr>
              <w:spacing w:after="0"/>
              <w:rPr>
                <w:rFonts w:cs="Calibri"/>
                <w:b/>
                <w:color w:val="C00000"/>
                <w:sz w:val="20"/>
                <w:szCs w:val="20"/>
                <w:lang w:val="en-CA" w:eastAsia="en-CA"/>
              </w:rPr>
            </w:pPr>
            <w:r w:rsidRPr="00896E71">
              <w:rPr>
                <w:rFonts w:cs="Calibri"/>
                <w:b/>
                <w:color w:val="C00000"/>
                <w:sz w:val="20"/>
                <w:szCs w:val="20"/>
              </w:rPr>
              <w:t>↑LDL</w:t>
            </w:r>
          </w:p>
        </w:tc>
        <w:tc>
          <w:tcPr>
            <w:tcW w:w="3260" w:type="dxa"/>
            <w:tcBorders>
              <w:right w:val="single" w:sz="4" w:space="0" w:color="auto"/>
            </w:tcBorders>
            <w:shd w:val="clear" w:color="auto" w:fill="F8ECEC"/>
            <w:hideMark/>
          </w:tcPr>
          <w:p w:rsidR="00896E35" w:rsidRDefault="00896E35" w:rsidP="00BF57A9">
            <w:pPr>
              <w:spacing w:after="0"/>
              <w:rPr>
                <w:rFonts w:cs="Calibri"/>
                <w:sz w:val="20"/>
                <w:szCs w:val="20"/>
              </w:rPr>
            </w:pPr>
            <w:r w:rsidRPr="00896E35">
              <w:rPr>
                <w:rFonts w:cs="Calibri"/>
                <w:sz w:val="20"/>
                <w:szCs w:val="20"/>
              </w:rPr>
              <w:t>Polygenic; high GRS for HTG, plus excess of rare variants in HTG associated genes, plus high GRS for LDL-C.</w:t>
            </w:r>
          </w:p>
          <w:p w:rsidR="00896E35" w:rsidRPr="00896E35" w:rsidRDefault="00896E35" w:rsidP="00BF57A9">
            <w:pPr>
              <w:spacing w:after="0"/>
              <w:rPr>
                <w:rFonts w:cs="Calibri"/>
                <w:i/>
                <w:sz w:val="20"/>
                <w:szCs w:val="20"/>
                <w:lang w:val="en-CA" w:eastAsia="en-CA"/>
              </w:rPr>
            </w:pPr>
          </w:p>
        </w:tc>
      </w:tr>
      <w:tr w:rsidR="00896E35" w:rsidRPr="006C6D7A" w:rsidTr="006D52E0">
        <w:tc>
          <w:tcPr>
            <w:tcW w:w="1418" w:type="dxa"/>
            <w:tcBorders>
              <w:top w:val="nil"/>
              <w:left w:val="single" w:sz="4" w:space="0" w:color="auto"/>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E78·2</w:t>
            </w:r>
          </w:p>
        </w:tc>
        <w:tc>
          <w:tcPr>
            <w:tcW w:w="2552" w:type="dxa"/>
            <w:tcBorders>
              <w:top w:val="nil"/>
              <w:left w:val="nil"/>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lang w:val="en-CA"/>
              </w:rPr>
              <w:t xml:space="preserve">HLP type 3 Dysbetalipoproteinaemia </w:t>
            </w:r>
          </w:p>
        </w:tc>
        <w:tc>
          <w:tcPr>
            <w:tcW w:w="1417" w:type="dxa"/>
            <w:tcBorders>
              <w:top w:val="nil"/>
              <w:left w:val="nil"/>
              <w:right w:val="nil"/>
            </w:tcBorders>
            <w:shd w:val="clear" w:color="auto" w:fill="F8ECEC"/>
            <w:hideMark/>
          </w:tcPr>
          <w:p w:rsidR="00896E35" w:rsidRPr="00896E35" w:rsidRDefault="00896E35" w:rsidP="00BF57A9">
            <w:pPr>
              <w:spacing w:after="0"/>
              <w:rPr>
                <w:rFonts w:cs="Calibri"/>
                <w:sz w:val="20"/>
                <w:szCs w:val="20"/>
                <w:lang w:val="en-CA" w:eastAsia="en-CA"/>
              </w:rPr>
            </w:pPr>
            <w:r w:rsidRPr="00896E35">
              <w:rPr>
                <w:rFonts w:cs="Calibri"/>
                <w:sz w:val="20"/>
                <w:szCs w:val="20"/>
              </w:rPr>
              <w:t>107741</w:t>
            </w:r>
          </w:p>
        </w:tc>
        <w:tc>
          <w:tcPr>
            <w:tcW w:w="1276" w:type="dxa"/>
            <w:tcBorders>
              <w:top w:val="nil"/>
              <w:left w:val="nil"/>
              <w:right w:val="nil"/>
            </w:tcBorders>
            <w:shd w:val="clear" w:color="auto" w:fill="F8ECEC"/>
            <w:hideMark/>
          </w:tcPr>
          <w:p w:rsidR="00896E35" w:rsidRPr="00896E35" w:rsidRDefault="00896E35" w:rsidP="00BF57A9">
            <w:pPr>
              <w:spacing w:after="0"/>
              <w:rPr>
                <w:rFonts w:cs="Calibri"/>
                <w:b/>
                <w:color w:val="C00000"/>
                <w:sz w:val="20"/>
                <w:szCs w:val="20"/>
                <w:lang w:val="en-CA" w:eastAsia="en-CA"/>
              </w:rPr>
            </w:pPr>
            <w:r w:rsidRPr="00896E35">
              <w:rPr>
                <w:rFonts w:cs="Calibri"/>
                <w:b/>
                <w:color w:val="C00000"/>
                <w:sz w:val="20"/>
                <w:szCs w:val="20"/>
              </w:rPr>
              <w:t>↑TC, ↑TG</w:t>
            </w:r>
          </w:p>
        </w:tc>
        <w:tc>
          <w:tcPr>
            <w:tcW w:w="1276" w:type="dxa"/>
            <w:tcBorders>
              <w:top w:val="nil"/>
              <w:left w:val="nil"/>
              <w:right w:val="nil"/>
            </w:tcBorders>
            <w:shd w:val="clear" w:color="auto" w:fill="F8ECEC"/>
            <w:hideMark/>
          </w:tcPr>
          <w:p w:rsidR="00896E35" w:rsidRPr="00896E71" w:rsidRDefault="00896E35" w:rsidP="00BF57A9">
            <w:pPr>
              <w:spacing w:after="0"/>
              <w:rPr>
                <w:rFonts w:cs="Calibri"/>
                <w:b/>
                <w:color w:val="C00000"/>
                <w:sz w:val="20"/>
                <w:szCs w:val="20"/>
                <w:lang w:val="en-CA" w:eastAsia="en-CA"/>
              </w:rPr>
            </w:pPr>
            <w:r w:rsidRPr="00896E71">
              <w:rPr>
                <w:rFonts w:cs="Calibri"/>
                <w:b/>
                <w:color w:val="C00000"/>
                <w:sz w:val="20"/>
                <w:szCs w:val="20"/>
              </w:rPr>
              <w:t>↑IDL</w:t>
            </w:r>
          </w:p>
        </w:tc>
        <w:tc>
          <w:tcPr>
            <w:tcW w:w="3260" w:type="dxa"/>
            <w:tcBorders>
              <w:top w:val="nil"/>
              <w:left w:val="nil"/>
              <w:right w:val="single" w:sz="4" w:space="0" w:color="auto"/>
            </w:tcBorders>
            <w:shd w:val="clear" w:color="auto" w:fill="F8ECEC"/>
            <w:hideMark/>
          </w:tcPr>
          <w:p w:rsidR="00896E35" w:rsidRDefault="00896E35" w:rsidP="00BF57A9">
            <w:pPr>
              <w:spacing w:after="0"/>
              <w:rPr>
                <w:rFonts w:cs="Calibri"/>
                <w:sz w:val="20"/>
                <w:szCs w:val="20"/>
              </w:rPr>
            </w:pPr>
            <w:r w:rsidRPr="00896E35">
              <w:rPr>
                <w:rFonts w:cs="Calibri"/>
                <w:sz w:val="20"/>
                <w:szCs w:val="20"/>
              </w:rPr>
              <w:t xml:space="preserve">Polygenic; high GRS for HTG, plus excess of rare variants in HTG associated genes, plus </w:t>
            </w:r>
            <w:r w:rsidRPr="00896E35">
              <w:rPr>
                <w:rFonts w:cs="Calibri"/>
                <w:i/>
                <w:sz w:val="20"/>
                <w:szCs w:val="20"/>
              </w:rPr>
              <w:t>APOE</w:t>
            </w:r>
            <w:r w:rsidRPr="00896E35">
              <w:rPr>
                <w:rFonts w:cs="Calibri"/>
                <w:sz w:val="20"/>
                <w:szCs w:val="20"/>
              </w:rPr>
              <w:t xml:space="preserve"> E2/E2 homozygosity, or heterozygous rare mutation in </w:t>
            </w:r>
            <w:r w:rsidRPr="00896E35">
              <w:rPr>
                <w:rFonts w:cs="Calibri"/>
                <w:i/>
                <w:sz w:val="20"/>
                <w:szCs w:val="20"/>
              </w:rPr>
              <w:t>APOE</w:t>
            </w:r>
            <w:r w:rsidRPr="00896E35">
              <w:rPr>
                <w:rFonts w:cs="Calibri"/>
                <w:sz w:val="20"/>
                <w:szCs w:val="20"/>
              </w:rPr>
              <w:t>.</w:t>
            </w:r>
          </w:p>
          <w:p w:rsidR="000C1FCC" w:rsidRPr="00896E35" w:rsidRDefault="000C1FCC" w:rsidP="00BF57A9">
            <w:pPr>
              <w:spacing w:after="0"/>
              <w:rPr>
                <w:rFonts w:cs="Calibri"/>
                <w:sz w:val="20"/>
                <w:szCs w:val="20"/>
                <w:lang w:val="en-CA" w:eastAsia="en-CA"/>
              </w:rPr>
            </w:pPr>
          </w:p>
        </w:tc>
      </w:tr>
      <w:tr w:rsidR="000C1FCC" w:rsidRPr="006C6D7A" w:rsidTr="006D52E0">
        <w:tc>
          <w:tcPr>
            <w:tcW w:w="1418" w:type="dxa"/>
            <w:tcBorders>
              <w:top w:val="nil"/>
              <w:left w:val="single" w:sz="4" w:space="0" w:color="auto"/>
              <w:right w:val="nil"/>
            </w:tcBorders>
            <w:shd w:val="clear" w:color="auto" w:fill="F8ECEC"/>
          </w:tcPr>
          <w:p w:rsidR="000C1FCC" w:rsidRPr="00896E35" w:rsidRDefault="000C1FCC" w:rsidP="00BF57A9">
            <w:pPr>
              <w:spacing w:after="0"/>
              <w:rPr>
                <w:rFonts w:cs="Calibri"/>
                <w:sz w:val="20"/>
                <w:szCs w:val="20"/>
              </w:rPr>
            </w:pPr>
            <w:r w:rsidRPr="000C1FCC">
              <w:rPr>
                <w:rFonts w:cs="Calibri"/>
                <w:sz w:val="20"/>
                <w:szCs w:val="20"/>
              </w:rPr>
              <w:t>E78·1</w:t>
            </w:r>
          </w:p>
        </w:tc>
        <w:tc>
          <w:tcPr>
            <w:tcW w:w="2552" w:type="dxa"/>
            <w:tcBorders>
              <w:top w:val="nil"/>
              <w:left w:val="nil"/>
              <w:right w:val="nil"/>
            </w:tcBorders>
            <w:shd w:val="clear" w:color="auto" w:fill="F8ECEC"/>
          </w:tcPr>
          <w:p w:rsidR="000C1FCC" w:rsidRPr="000C1FCC" w:rsidRDefault="000C1FCC" w:rsidP="00BF57A9">
            <w:pPr>
              <w:spacing w:after="0"/>
              <w:rPr>
                <w:rFonts w:cs="Calibri"/>
                <w:sz w:val="20"/>
                <w:szCs w:val="20"/>
              </w:rPr>
            </w:pPr>
            <w:r w:rsidRPr="000C1FCC">
              <w:rPr>
                <w:rFonts w:cs="Calibri"/>
                <w:sz w:val="20"/>
                <w:szCs w:val="20"/>
              </w:rPr>
              <w:t xml:space="preserve">HLP type 4 </w:t>
            </w:r>
          </w:p>
          <w:p w:rsidR="000C1FCC" w:rsidRPr="00896E35" w:rsidRDefault="000C1FCC" w:rsidP="00BF57A9">
            <w:pPr>
              <w:spacing w:after="0"/>
              <w:rPr>
                <w:rFonts w:cs="Calibri"/>
                <w:sz w:val="20"/>
                <w:szCs w:val="20"/>
                <w:lang w:val="en-CA"/>
              </w:rPr>
            </w:pPr>
            <w:r w:rsidRPr="000C1FCC">
              <w:rPr>
                <w:rFonts w:cs="Calibri"/>
                <w:sz w:val="20"/>
                <w:szCs w:val="20"/>
              </w:rPr>
              <w:t>Primary or simple hypertriglyceridaemia</w:t>
            </w:r>
          </w:p>
        </w:tc>
        <w:tc>
          <w:tcPr>
            <w:tcW w:w="1417" w:type="dxa"/>
            <w:tcBorders>
              <w:top w:val="nil"/>
              <w:left w:val="nil"/>
              <w:right w:val="nil"/>
            </w:tcBorders>
            <w:shd w:val="clear" w:color="auto" w:fill="F8ECEC"/>
          </w:tcPr>
          <w:p w:rsidR="000C1FCC" w:rsidRPr="000C1FCC" w:rsidRDefault="000C1FCC" w:rsidP="00BF57A9">
            <w:pPr>
              <w:spacing w:after="0"/>
              <w:rPr>
                <w:rFonts w:cs="Calibri"/>
                <w:sz w:val="20"/>
                <w:szCs w:val="20"/>
              </w:rPr>
            </w:pPr>
            <w:r w:rsidRPr="000C1FCC">
              <w:rPr>
                <w:rFonts w:cs="Calibri"/>
                <w:sz w:val="20"/>
                <w:szCs w:val="20"/>
              </w:rPr>
              <w:t>144600</w:t>
            </w:r>
          </w:p>
          <w:p w:rsidR="000C1FCC" w:rsidRPr="00896E35" w:rsidRDefault="000C1FCC" w:rsidP="00BF57A9">
            <w:pPr>
              <w:spacing w:after="0"/>
              <w:rPr>
                <w:rFonts w:cs="Calibri"/>
                <w:sz w:val="20"/>
                <w:szCs w:val="20"/>
              </w:rPr>
            </w:pPr>
            <w:r w:rsidRPr="000C1FCC">
              <w:rPr>
                <w:rFonts w:cs="Calibri"/>
                <w:sz w:val="20"/>
                <w:szCs w:val="20"/>
              </w:rPr>
              <w:t>and 145750</w:t>
            </w:r>
          </w:p>
        </w:tc>
        <w:tc>
          <w:tcPr>
            <w:tcW w:w="1276" w:type="dxa"/>
            <w:tcBorders>
              <w:top w:val="nil"/>
              <w:left w:val="nil"/>
              <w:right w:val="nil"/>
            </w:tcBorders>
            <w:shd w:val="clear" w:color="auto" w:fill="F8ECEC"/>
          </w:tcPr>
          <w:p w:rsidR="000C1FCC" w:rsidRPr="00896E35" w:rsidRDefault="000C1FCC" w:rsidP="00BF57A9">
            <w:pPr>
              <w:spacing w:after="0"/>
              <w:rPr>
                <w:rFonts w:cs="Calibri"/>
                <w:b/>
                <w:color w:val="C00000"/>
                <w:sz w:val="20"/>
                <w:szCs w:val="20"/>
              </w:rPr>
            </w:pPr>
            <w:r w:rsidRPr="000C1FCC">
              <w:rPr>
                <w:rFonts w:cs="Calibri"/>
                <w:b/>
                <w:color w:val="C00000"/>
                <w:sz w:val="20"/>
                <w:szCs w:val="20"/>
              </w:rPr>
              <w:t>↑TG</w:t>
            </w:r>
          </w:p>
        </w:tc>
        <w:tc>
          <w:tcPr>
            <w:tcW w:w="1276" w:type="dxa"/>
            <w:tcBorders>
              <w:top w:val="nil"/>
              <w:left w:val="nil"/>
              <w:right w:val="nil"/>
            </w:tcBorders>
            <w:shd w:val="clear" w:color="auto" w:fill="F8ECEC"/>
          </w:tcPr>
          <w:p w:rsidR="000C1FCC" w:rsidRPr="00896E71" w:rsidRDefault="000C1FCC" w:rsidP="00BF57A9">
            <w:pPr>
              <w:spacing w:after="0"/>
              <w:rPr>
                <w:rFonts w:cs="Calibri"/>
                <w:b/>
                <w:color w:val="C00000"/>
                <w:sz w:val="20"/>
                <w:szCs w:val="20"/>
              </w:rPr>
            </w:pPr>
            <w:r w:rsidRPr="00896E71">
              <w:rPr>
                <w:rFonts w:cs="Calibri"/>
                <w:b/>
                <w:color w:val="C00000"/>
                <w:sz w:val="20"/>
                <w:szCs w:val="20"/>
              </w:rPr>
              <w:t>↑VLDL</w:t>
            </w:r>
          </w:p>
        </w:tc>
        <w:tc>
          <w:tcPr>
            <w:tcW w:w="3260" w:type="dxa"/>
            <w:tcBorders>
              <w:top w:val="nil"/>
              <w:left w:val="nil"/>
              <w:right w:val="single" w:sz="4" w:space="0" w:color="auto"/>
            </w:tcBorders>
            <w:shd w:val="clear" w:color="auto" w:fill="F8ECEC"/>
          </w:tcPr>
          <w:p w:rsidR="000C1FCC" w:rsidRDefault="000C1FCC" w:rsidP="00BF57A9">
            <w:pPr>
              <w:spacing w:after="0"/>
              <w:rPr>
                <w:rFonts w:cs="Calibri"/>
                <w:sz w:val="20"/>
                <w:szCs w:val="20"/>
              </w:rPr>
            </w:pPr>
            <w:r w:rsidRPr="000C1FCC">
              <w:rPr>
                <w:rFonts w:cs="Calibri"/>
                <w:sz w:val="20"/>
                <w:szCs w:val="20"/>
              </w:rPr>
              <w:t>Polygenic; high GRS for HTG, plus excess of rare variants in HTG associated genes</w:t>
            </w:r>
          </w:p>
          <w:p w:rsidR="000C1FCC" w:rsidRPr="00896E35" w:rsidRDefault="000C1FCC" w:rsidP="00BF57A9">
            <w:pPr>
              <w:spacing w:after="0"/>
              <w:rPr>
                <w:rFonts w:cs="Calibri"/>
                <w:sz w:val="20"/>
                <w:szCs w:val="20"/>
              </w:rPr>
            </w:pPr>
          </w:p>
        </w:tc>
      </w:tr>
      <w:tr w:rsidR="000C1FCC" w:rsidRPr="006C6D7A" w:rsidTr="006D52E0">
        <w:tc>
          <w:tcPr>
            <w:tcW w:w="1418" w:type="dxa"/>
            <w:tcBorders>
              <w:top w:val="nil"/>
              <w:left w:val="single" w:sz="4" w:space="0" w:color="auto"/>
              <w:bottom w:val="single" w:sz="4" w:space="0" w:color="auto"/>
              <w:right w:val="nil"/>
            </w:tcBorders>
            <w:shd w:val="clear" w:color="auto" w:fill="F8ECEC"/>
          </w:tcPr>
          <w:p w:rsidR="000C1FCC" w:rsidRPr="000C1FCC" w:rsidRDefault="000C1FCC" w:rsidP="00BF57A9">
            <w:pPr>
              <w:spacing w:after="0"/>
              <w:rPr>
                <w:rFonts w:cs="Calibri"/>
                <w:sz w:val="20"/>
                <w:szCs w:val="20"/>
              </w:rPr>
            </w:pPr>
            <w:r w:rsidRPr="000C1FCC">
              <w:rPr>
                <w:rFonts w:cs="Calibri"/>
                <w:sz w:val="20"/>
                <w:szCs w:val="20"/>
              </w:rPr>
              <w:t>E78</w:t>
            </w:r>
            <w:r>
              <w:rPr>
                <w:rFonts w:cs="Calibri"/>
                <w:sz w:val="20"/>
                <w:szCs w:val="20"/>
              </w:rPr>
              <w:t xml:space="preserve"> </w:t>
            </w:r>
            <w:r w:rsidRPr="000C1FCC">
              <w:rPr>
                <w:rFonts w:cs="Calibri"/>
                <w:sz w:val="20"/>
                <w:szCs w:val="20"/>
              </w:rPr>
              <w:t>3</w:t>
            </w:r>
          </w:p>
        </w:tc>
        <w:tc>
          <w:tcPr>
            <w:tcW w:w="2552" w:type="dxa"/>
            <w:tcBorders>
              <w:top w:val="nil"/>
              <w:left w:val="nil"/>
              <w:bottom w:val="single" w:sz="4" w:space="0" w:color="auto"/>
              <w:right w:val="nil"/>
            </w:tcBorders>
            <w:shd w:val="clear" w:color="auto" w:fill="F8ECEC"/>
          </w:tcPr>
          <w:p w:rsidR="000C1FCC" w:rsidRPr="000C1FCC" w:rsidRDefault="000C1FCC" w:rsidP="00BF57A9">
            <w:pPr>
              <w:spacing w:after="0"/>
              <w:rPr>
                <w:rFonts w:cs="Calibri"/>
                <w:sz w:val="20"/>
                <w:szCs w:val="20"/>
              </w:rPr>
            </w:pPr>
            <w:r w:rsidRPr="000C1FCC">
              <w:rPr>
                <w:rFonts w:cs="Calibri"/>
                <w:sz w:val="20"/>
                <w:szCs w:val="20"/>
              </w:rPr>
              <w:t xml:space="preserve">HLP type 5 </w:t>
            </w:r>
          </w:p>
          <w:p w:rsidR="000C1FCC" w:rsidRPr="000C1FCC" w:rsidRDefault="000C1FCC" w:rsidP="00BF57A9">
            <w:pPr>
              <w:spacing w:after="0"/>
              <w:rPr>
                <w:rFonts w:cs="Calibri"/>
                <w:sz w:val="20"/>
                <w:szCs w:val="20"/>
              </w:rPr>
            </w:pPr>
            <w:r w:rsidRPr="000C1FCC">
              <w:rPr>
                <w:rFonts w:cs="Calibri"/>
                <w:sz w:val="20"/>
                <w:szCs w:val="20"/>
              </w:rPr>
              <w:t>Mixed hypertriglyceridaemia</w:t>
            </w:r>
          </w:p>
        </w:tc>
        <w:tc>
          <w:tcPr>
            <w:tcW w:w="1417" w:type="dxa"/>
            <w:tcBorders>
              <w:top w:val="nil"/>
              <w:left w:val="nil"/>
              <w:bottom w:val="single" w:sz="4" w:space="0" w:color="auto"/>
              <w:right w:val="nil"/>
            </w:tcBorders>
            <w:shd w:val="clear" w:color="auto" w:fill="F8ECEC"/>
          </w:tcPr>
          <w:p w:rsidR="000C1FCC" w:rsidRPr="000C1FCC" w:rsidRDefault="000C1FCC" w:rsidP="00BF57A9">
            <w:pPr>
              <w:spacing w:after="0"/>
              <w:rPr>
                <w:rFonts w:cs="Calibri"/>
                <w:sz w:val="20"/>
                <w:szCs w:val="20"/>
              </w:rPr>
            </w:pPr>
            <w:r w:rsidRPr="000C1FCC">
              <w:rPr>
                <w:rFonts w:cs="Calibri"/>
                <w:sz w:val="20"/>
                <w:szCs w:val="20"/>
              </w:rPr>
              <w:t>144650</w:t>
            </w:r>
          </w:p>
        </w:tc>
        <w:tc>
          <w:tcPr>
            <w:tcW w:w="1276" w:type="dxa"/>
            <w:tcBorders>
              <w:top w:val="nil"/>
              <w:left w:val="nil"/>
              <w:bottom w:val="single" w:sz="4" w:space="0" w:color="auto"/>
              <w:right w:val="nil"/>
            </w:tcBorders>
            <w:shd w:val="clear" w:color="auto" w:fill="F8ECEC"/>
          </w:tcPr>
          <w:p w:rsidR="000C1FCC" w:rsidRPr="000C1FCC" w:rsidRDefault="000C1FCC" w:rsidP="00BF57A9">
            <w:pPr>
              <w:spacing w:after="0"/>
              <w:rPr>
                <w:rFonts w:cs="Calibri"/>
                <w:b/>
                <w:color w:val="C00000"/>
                <w:sz w:val="20"/>
                <w:szCs w:val="20"/>
              </w:rPr>
            </w:pPr>
            <w:r w:rsidRPr="000C1FCC">
              <w:rPr>
                <w:rFonts w:cs="Calibri"/>
                <w:b/>
                <w:color w:val="C00000"/>
                <w:sz w:val="20"/>
                <w:szCs w:val="20"/>
              </w:rPr>
              <w:t>↑TC, ↑TG</w:t>
            </w:r>
          </w:p>
        </w:tc>
        <w:tc>
          <w:tcPr>
            <w:tcW w:w="1276" w:type="dxa"/>
            <w:tcBorders>
              <w:top w:val="nil"/>
              <w:left w:val="nil"/>
              <w:bottom w:val="single" w:sz="4" w:space="0" w:color="auto"/>
              <w:right w:val="nil"/>
            </w:tcBorders>
            <w:shd w:val="clear" w:color="auto" w:fill="F8ECEC"/>
          </w:tcPr>
          <w:p w:rsidR="000C1FCC" w:rsidRPr="00896E71" w:rsidRDefault="000C1FCC" w:rsidP="00BF57A9">
            <w:pPr>
              <w:spacing w:after="0"/>
              <w:rPr>
                <w:rFonts w:cs="Calibri"/>
                <w:b/>
                <w:color w:val="C00000"/>
                <w:sz w:val="20"/>
                <w:szCs w:val="20"/>
              </w:rPr>
            </w:pPr>
            <w:r w:rsidRPr="00896E71">
              <w:rPr>
                <w:rFonts w:cs="Calibri"/>
                <w:b/>
                <w:color w:val="C00000"/>
                <w:sz w:val="20"/>
                <w:szCs w:val="20"/>
              </w:rPr>
              <w:t xml:space="preserve">↑VLDL, </w:t>
            </w:r>
          </w:p>
          <w:p w:rsidR="000C1FCC" w:rsidRPr="00896E71" w:rsidRDefault="000C1FCC" w:rsidP="00BF57A9">
            <w:pPr>
              <w:spacing w:after="0"/>
              <w:rPr>
                <w:rFonts w:cs="Calibri"/>
                <w:b/>
                <w:color w:val="C00000"/>
                <w:sz w:val="20"/>
                <w:szCs w:val="20"/>
              </w:rPr>
            </w:pPr>
            <w:r w:rsidRPr="00896E71">
              <w:rPr>
                <w:rFonts w:cs="Calibri"/>
                <w:b/>
                <w:color w:val="C00000"/>
                <w:sz w:val="20"/>
                <w:szCs w:val="20"/>
              </w:rPr>
              <w:t>↑CM</w:t>
            </w:r>
          </w:p>
        </w:tc>
        <w:tc>
          <w:tcPr>
            <w:tcW w:w="3260" w:type="dxa"/>
            <w:tcBorders>
              <w:top w:val="nil"/>
              <w:left w:val="nil"/>
              <w:bottom w:val="single" w:sz="4" w:space="0" w:color="auto"/>
              <w:right w:val="single" w:sz="4" w:space="0" w:color="auto"/>
            </w:tcBorders>
            <w:shd w:val="clear" w:color="auto" w:fill="F8ECEC"/>
          </w:tcPr>
          <w:p w:rsidR="000C1FCC" w:rsidRPr="000C1FCC" w:rsidRDefault="000C1FCC" w:rsidP="00BF57A9">
            <w:pPr>
              <w:spacing w:after="0"/>
              <w:rPr>
                <w:rFonts w:cs="Calibri"/>
                <w:sz w:val="20"/>
                <w:szCs w:val="20"/>
              </w:rPr>
            </w:pPr>
            <w:r w:rsidRPr="000C1FCC">
              <w:rPr>
                <w:rFonts w:cs="Calibri"/>
                <w:sz w:val="20"/>
                <w:szCs w:val="20"/>
              </w:rPr>
              <w:t>Polygenic; high GRS for HTG, plus excess of rare variants in HTG associated genes, with higher burden of risk alleles than HLP type</w:t>
            </w:r>
            <w:r>
              <w:rPr>
                <w:rFonts w:cs="Calibri"/>
                <w:sz w:val="20"/>
                <w:szCs w:val="20"/>
              </w:rPr>
              <w:t> </w:t>
            </w:r>
            <w:r w:rsidRPr="000C1FCC">
              <w:rPr>
                <w:rFonts w:cs="Calibri"/>
                <w:sz w:val="20"/>
                <w:szCs w:val="20"/>
              </w:rPr>
              <w:t xml:space="preserve"> 4.</w:t>
            </w:r>
          </w:p>
        </w:tc>
      </w:tr>
    </w:tbl>
    <w:p w:rsidR="00896E71" w:rsidRDefault="000C1FCC" w:rsidP="00A70A16">
      <w:pPr>
        <w:spacing w:after="0"/>
        <w:rPr>
          <w:rFonts w:cs="Calibri"/>
        </w:rPr>
      </w:pPr>
      <w:r w:rsidRPr="000C1FCC">
        <w:rPr>
          <w:rFonts w:cs="Calibri"/>
          <w:sz w:val="20"/>
          <w:szCs w:val="20"/>
        </w:rPr>
        <w:t xml:space="preserve">ACD autosomal co-dominant; </w:t>
      </w:r>
      <w:r w:rsidRPr="000C1FCC">
        <w:rPr>
          <w:rFonts w:cs="Calibri"/>
          <w:i/>
          <w:sz w:val="20"/>
          <w:szCs w:val="20"/>
        </w:rPr>
        <w:t>APOA5</w:t>
      </w:r>
      <w:r w:rsidRPr="000C1FCC">
        <w:rPr>
          <w:rFonts w:cs="Calibri"/>
          <w:sz w:val="20"/>
          <w:szCs w:val="20"/>
        </w:rPr>
        <w:t xml:space="preserve"> gene encoding apo A5; </w:t>
      </w:r>
      <w:r w:rsidRPr="000C1FCC">
        <w:rPr>
          <w:rFonts w:cs="Calibri"/>
          <w:i/>
          <w:sz w:val="20"/>
          <w:szCs w:val="20"/>
        </w:rPr>
        <w:t>APOB</w:t>
      </w:r>
      <w:r w:rsidRPr="000C1FCC">
        <w:rPr>
          <w:rFonts w:cs="Calibri"/>
          <w:sz w:val="20"/>
          <w:szCs w:val="20"/>
        </w:rPr>
        <w:t xml:space="preserve"> gene encoding apo B; </w:t>
      </w:r>
      <w:r w:rsidRPr="000C1FCC">
        <w:rPr>
          <w:rFonts w:cs="Calibri"/>
          <w:i/>
          <w:sz w:val="20"/>
          <w:szCs w:val="20"/>
        </w:rPr>
        <w:t>APOC2</w:t>
      </w:r>
      <w:r w:rsidRPr="000C1FCC">
        <w:rPr>
          <w:rFonts w:cs="Calibri"/>
          <w:sz w:val="20"/>
          <w:szCs w:val="20"/>
        </w:rPr>
        <w:t xml:space="preserve"> gene encoding apolipoprotein (apo) C-II; </w:t>
      </w:r>
      <w:r w:rsidRPr="000C1FCC">
        <w:rPr>
          <w:rFonts w:cs="Calibri"/>
          <w:i/>
          <w:sz w:val="20"/>
          <w:szCs w:val="20"/>
        </w:rPr>
        <w:t>APOE</w:t>
      </w:r>
      <w:r w:rsidRPr="000C1FCC">
        <w:rPr>
          <w:rFonts w:cs="Calibri"/>
          <w:sz w:val="20"/>
          <w:szCs w:val="20"/>
        </w:rPr>
        <w:t xml:space="preserve"> gene encoding apo E; AR autosomal recessive; CM chylomicrons; </w:t>
      </w:r>
      <w:r w:rsidRPr="000C1FCC">
        <w:rPr>
          <w:rFonts w:cs="Calibri"/>
          <w:i/>
          <w:sz w:val="20"/>
          <w:szCs w:val="20"/>
        </w:rPr>
        <w:t>GPD1</w:t>
      </w:r>
      <w:r w:rsidRPr="000C1FCC">
        <w:rPr>
          <w:rFonts w:cs="Calibri"/>
          <w:sz w:val="20"/>
          <w:szCs w:val="20"/>
        </w:rPr>
        <w:t xml:space="preserve"> gene encoding glycerol-3-phosphate dehydrogenase 1; </w:t>
      </w:r>
      <w:r w:rsidRPr="000C1FCC">
        <w:rPr>
          <w:rFonts w:cs="Calibri"/>
          <w:i/>
          <w:sz w:val="20"/>
          <w:szCs w:val="20"/>
        </w:rPr>
        <w:t>GPIHBP1</w:t>
      </w:r>
      <w:r w:rsidRPr="000C1FCC">
        <w:rPr>
          <w:rFonts w:cs="Calibri"/>
          <w:sz w:val="20"/>
          <w:szCs w:val="20"/>
        </w:rPr>
        <w:t xml:space="preserve"> gene encoding glycosylphosphatidylinositol-anchored HDL-binding protein 1; GRS polygenic genetic risk score created by tallying risk alleles from single nucleotide polymorphisms associated with increased plasma TG levels and HTG; HLP hyperlipoproteinaemia; HTG hypertriglyceridaemia; ICD International Classification of Diseases; IDL intermediate-density lipoprotein; LDL low-density lipoprotein; LDL-C low-density lipoprotein cholesterol; LDLR low-density lipoprotein receptor; </w:t>
      </w:r>
      <w:r w:rsidRPr="000C1FCC">
        <w:rPr>
          <w:rFonts w:cs="Calibri"/>
          <w:i/>
          <w:sz w:val="20"/>
          <w:szCs w:val="20"/>
        </w:rPr>
        <w:t>LDLRAP1</w:t>
      </w:r>
      <w:r w:rsidRPr="000C1FCC">
        <w:rPr>
          <w:rFonts w:cs="Calibri"/>
          <w:sz w:val="20"/>
          <w:szCs w:val="20"/>
        </w:rPr>
        <w:t xml:space="preserve"> gene encoding low density lipoprotein receptor adaptor protein 1; </w:t>
      </w:r>
      <w:r w:rsidRPr="000C1FCC">
        <w:rPr>
          <w:rFonts w:cs="Calibri"/>
          <w:i/>
          <w:sz w:val="20"/>
          <w:szCs w:val="20"/>
        </w:rPr>
        <w:t>LMF1</w:t>
      </w:r>
      <w:r w:rsidRPr="000C1FCC">
        <w:rPr>
          <w:rFonts w:cs="Calibri"/>
          <w:sz w:val="20"/>
          <w:szCs w:val="20"/>
        </w:rPr>
        <w:t xml:space="preserve"> gene encoding lipase maturation factor 1; </w:t>
      </w:r>
      <w:r w:rsidRPr="000C1FCC">
        <w:rPr>
          <w:rFonts w:cs="Calibri"/>
          <w:i/>
          <w:sz w:val="20"/>
          <w:szCs w:val="20"/>
        </w:rPr>
        <w:t>LPL</w:t>
      </w:r>
      <w:r w:rsidRPr="000C1FCC">
        <w:rPr>
          <w:rFonts w:cs="Calibri"/>
          <w:sz w:val="20"/>
          <w:szCs w:val="20"/>
        </w:rPr>
        <w:t xml:space="preserve"> gene encoding lipoprotein lipase;</w:t>
      </w:r>
      <w:r w:rsidRPr="000C1FCC">
        <w:rPr>
          <w:rFonts w:cs="Calibri"/>
          <w:i/>
          <w:sz w:val="20"/>
          <w:szCs w:val="20"/>
        </w:rPr>
        <w:t xml:space="preserve"> </w:t>
      </w:r>
      <w:r w:rsidRPr="000C1FCC">
        <w:rPr>
          <w:rFonts w:cs="Calibri"/>
          <w:sz w:val="20"/>
          <w:szCs w:val="20"/>
        </w:rPr>
        <w:t xml:space="preserve">MIM Mendelian Inheritance in Man database; </w:t>
      </w:r>
      <w:r w:rsidRPr="000C1FCC">
        <w:rPr>
          <w:rFonts w:cs="Calibri"/>
          <w:i/>
          <w:sz w:val="20"/>
          <w:szCs w:val="20"/>
        </w:rPr>
        <w:t>PCSK9</w:t>
      </w:r>
      <w:r w:rsidRPr="000C1FCC">
        <w:rPr>
          <w:rFonts w:cs="Calibri"/>
          <w:sz w:val="20"/>
          <w:szCs w:val="20"/>
        </w:rPr>
        <w:t xml:space="preserve"> gene encoding proprotein convertase subtilisin/kexin type 9; TC total cholesterol; TG triglyceride; VLDL very low-density lipoprotein; WHO World Health Organization. </w:t>
      </w:r>
      <w:r w:rsidRPr="000C1FCC">
        <w:rPr>
          <w:rFonts w:cs="Calibri"/>
          <w:i/>
          <w:sz w:val="20"/>
          <w:szCs w:val="20"/>
        </w:rPr>
        <w:t>Adapted from Hegele (2009)</w:t>
      </w:r>
      <w:r w:rsidRPr="000C1FCC">
        <w:rPr>
          <w:rFonts w:cs="Calibri"/>
          <w:sz w:val="20"/>
          <w:szCs w:val="20"/>
        </w:rPr>
        <w:t>.</w:t>
      </w:r>
      <w:r w:rsidRPr="000C1FCC">
        <w:rPr>
          <w:rFonts w:cs="Calibri"/>
          <w:sz w:val="20"/>
          <w:szCs w:val="20"/>
          <w:vertAlign w:val="superscript"/>
        </w:rPr>
        <w:t>27</w:t>
      </w:r>
    </w:p>
    <w:p w:rsidR="00BF57A9" w:rsidRDefault="00BF57A9" w:rsidP="00A70A16">
      <w:pPr>
        <w:spacing w:after="0"/>
        <w:rPr>
          <w:rFonts w:cs="Calibri"/>
        </w:rPr>
        <w:sectPr w:rsidR="00BF57A9" w:rsidSect="00A25FE8">
          <w:type w:val="continuous"/>
          <w:pgSz w:w="12240" w:h="15840"/>
          <w:pgMar w:top="1440" w:right="1440" w:bottom="1440" w:left="1440" w:header="708" w:footer="708" w:gutter="0"/>
          <w:cols w:space="708"/>
          <w:docGrid w:linePitch="360"/>
        </w:sectPr>
      </w:pPr>
    </w:p>
    <w:p w:rsidR="002D1A79" w:rsidRDefault="003920FB" w:rsidP="00A70A16">
      <w:pPr>
        <w:spacing w:after="0"/>
        <w:rPr>
          <w:rFonts w:cs="Calibri"/>
        </w:rPr>
      </w:pPr>
      <w:r w:rsidRPr="00490F3E">
        <w:rPr>
          <w:rFonts w:cs="Calibri"/>
        </w:rPr>
        <w:lastRenderedPageBreak/>
        <w:t xml:space="preserve">The </w:t>
      </w:r>
      <w:r w:rsidR="00173214" w:rsidRPr="00490F3E">
        <w:rPr>
          <w:rFonts w:cs="Calibri"/>
        </w:rPr>
        <w:t xml:space="preserve">different HTG-associated phenotypes </w:t>
      </w:r>
      <w:r w:rsidR="002D1A79" w:rsidRPr="00490F3E">
        <w:rPr>
          <w:rFonts w:cs="Calibri"/>
        </w:rPr>
        <w:t xml:space="preserve">are defined by the specific class or classes of </w:t>
      </w:r>
      <w:r w:rsidR="007C3D4A" w:rsidRPr="00490F3E">
        <w:rPr>
          <w:rFonts w:cs="Calibri"/>
        </w:rPr>
        <w:t xml:space="preserve">accumulated </w:t>
      </w:r>
      <w:r w:rsidR="002D1A79" w:rsidRPr="00490F3E">
        <w:rPr>
          <w:rFonts w:cs="Calibri"/>
        </w:rPr>
        <w:t>TG-rich lipoprotein particles, including chylomicrons</w:t>
      </w:r>
      <w:r w:rsidR="0044573C">
        <w:rPr>
          <w:rFonts w:cs="Calibri"/>
        </w:rPr>
        <w:t>,</w:t>
      </w:r>
      <w:r w:rsidR="000E5B71" w:rsidRPr="00490F3E">
        <w:rPr>
          <w:rFonts w:cs="Calibri"/>
        </w:rPr>
        <w:t xml:space="preserve"> and</w:t>
      </w:r>
      <w:r w:rsidR="002D1A79" w:rsidRPr="00490F3E">
        <w:rPr>
          <w:rFonts w:cs="Calibri"/>
        </w:rPr>
        <w:t xml:space="preserve"> VLDL</w:t>
      </w:r>
      <w:r w:rsidR="000E5B71" w:rsidRPr="00490F3E">
        <w:rPr>
          <w:rFonts w:cs="Calibri"/>
        </w:rPr>
        <w:t xml:space="preserve"> and</w:t>
      </w:r>
      <w:r w:rsidR="002D1A79" w:rsidRPr="00490F3E">
        <w:rPr>
          <w:rFonts w:cs="Calibri"/>
        </w:rPr>
        <w:t xml:space="preserve"> their remnants</w:t>
      </w:r>
      <w:r w:rsidR="007308F8">
        <w:rPr>
          <w:rFonts w:cs="Calibri"/>
        </w:rPr>
        <w:t>.</w:t>
      </w:r>
      <w:r w:rsidR="00611704" w:rsidRPr="00997DBF">
        <w:rPr>
          <w:rFonts w:cs="Calibri"/>
          <w:vertAlign w:val="superscript"/>
        </w:rPr>
        <w:t>2</w:t>
      </w:r>
      <w:r w:rsidR="00094F58">
        <w:rPr>
          <w:rFonts w:cs="Calibri"/>
          <w:vertAlign w:val="superscript"/>
        </w:rPr>
        <w:t>7</w:t>
      </w:r>
      <w:r w:rsidR="002D1A79" w:rsidRPr="00490F3E">
        <w:rPr>
          <w:rFonts w:cs="Calibri"/>
        </w:rPr>
        <w:t xml:space="preserve"> Frequently, </w:t>
      </w:r>
      <w:r w:rsidR="00C33AA8" w:rsidRPr="00490F3E">
        <w:rPr>
          <w:rFonts w:cs="Calibri"/>
        </w:rPr>
        <w:t xml:space="preserve">TG-rich lipoprotein excess </w:t>
      </w:r>
      <w:r w:rsidR="002D1A79" w:rsidRPr="00490F3E">
        <w:rPr>
          <w:rFonts w:cs="Calibri"/>
        </w:rPr>
        <w:t>co-exists with other lipoprotein disturbances</w:t>
      </w:r>
      <w:r w:rsidR="00C33AA8" w:rsidRPr="00490F3E">
        <w:rPr>
          <w:rFonts w:cs="Calibri"/>
        </w:rPr>
        <w:t>; for instance</w:t>
      </w:r>
      <w:r w:rsidR="00ED00FF">
        <w:rPr>
          <w:rFonts w:cs="Calibri"/>
        </w:rPr>
        <w:t>,</w:t>
      </w:r>
      <w:r w:rsidR="00C33AA8" w:rsidRPr="00490F3E">
        <w:rPr>
          <w:rFonts w:cs="Calibri"/>
        </w:rPr>
        <w:t xml:space="preserve"> d</w:t>
      </w:r>
      <w:r w:rsidR="002D1A79" w:rsidRPr="00490F3E">
        <w:rPr>
          <w:rFonts w:cs="Calibri"/>
        </w:rPr>
        <w:t xml:space="preserve">ecreased HDL cholesterol is commonly seen in </w:t>
      </w:r>
      <w:r w:rsidR="003074E2" w:rsidRPr="00490F3E">
        <w:rPr>
          <w:rFonts w:cs="Calibri"/>
        </w:rPr>
        <w:t>individual</w:t>
      </w:r>
      <w:r w:rsidR="002D1A79" w:rsidRPr="00490F3E">
        <w:rPr>
          <w:rFonts w:cs="Calibri"/>
        </w:rPr>
        <w:t xml:space="preserve">s with all forms of HTG. Implicit in this classification system was the idea that differences between </w:t>
      </w:r>
      <w:r w:rsidR="002D1A79" w:rsidRPr="00490F3E">
        <w:rPr>
          <w:rFonts w:cs="Calibri"/>
        </w:rPr>
        <w:lastRenderedPageBreak/>
        <w:t xml:space="preserve">HTG-associated phenotypes were due to </w:t>
      </w:r>
      <w:r w:rsidR="00C33AA8" w:rsidRPr="00490F3E">
        <w:rPr>
          <w:rFonts w:cs="Calibri"/>
        </w:rPr>
        <w:t>genetic differences</w:t>
      </w:r>
      <w:r w:rsidR="00014004" w:rsidRPr="00490F3E">
        <w:rPr>
          <w:rFonts w:cs="Calibri"/>
        </w:rPr>
        <w:t xml:space="preserve">; </w:t>
      </w:r>
      <w:r w:rsidR="00CB09CD" w:rsidRPr="00490F3E">
        <w:rPr>
          <w:rFonts w:cs="Calibri"/>
        </w:rPr>
        <w:t>however</w:t>
      </w:r>
      <w:r w:rsidR="0044573C">
        <w:rPr>
          <w:rFonts w:cs="Calibri"/>
        </w:rPr>
        <w:t>,</w:t>
      </w:r>
      <w:r w:rsidR="00CB09CD" w:rsidRPr="00490F3E">
        <w:rPr>
          <w:rFonts w:cs="Calibri"/>
        </w:rPr>
        <w:t xml:space="preserve"> </w:t>
      </w:r>
      <w:r w:rsidR="002D1A79" w:rsidRPr="00490F3E">
        <w:rPr>
          <w:rFonts w:cs="Calibri"/>
        </w:rPr>
        <w:t xml:space="preserve">recent data </w:t>
      </w:r>
      <w:r w:rsidR="00562259" w:rsidRPr="00490F3E">
        <w:rPr>
          <w:rFonts w:cs="Calibri"/>
        </w:rPr>
        <w:t>indicate</w:t>
      </w:r>
      <w:r w:rsidR="002D1A79" w:rsidRPr="00490F3E">
        <w:rPr>
          <w:rFonts w:cs="Calibri"/>
        </w:rPr>
        <w:t xml:space="preserve"> that this is </w:t>
      </w:r>
      <w:r w:rsidR="00730572" w:rsidRPr="00490F3E">
        <w:rPr>
          <w:rFonts w:cs="Calibri"/>
        </w:rPr>
        <w:t>typically</w:t>
      </w:r>
      <w:r w:rsidR="002D1A79" w:rsidRPr="00490F3E">
        <w:rPr>
          <w:rFonts w:cs="Calibri"/>
        </w:rPr>
        <w:t xml:space="preserve"> not the case</w:t>
      </w:r>
      <w:r w:rsidR="007308F8">
        <w:rPr>
          <w:rFonts w:cs="Calibri"/>
        </w:rPr>
        <w:t>.</w:t>
      </w:r>
      <w:r w:rsidR="00BE4A59" w:rsidRPr="00997DBF">
        <w:rPr>
          <w:rFonts w:cs="Calibri"/>
          <w:vertAlign w:val="superscript"/>
        </w:rPr>
        <w:t>2</w:t>
      </w:r>
      <w:r w:rsidR="00094F58">
        <w:rPr>
          <w:rFonts w:cs="Calibri"/>
          <w:vertAlign w:val="superscript"/>
        </w:rPr>
        <w:t>9</w:t>
      </w:r>
      <w:r w:rsidR="005A5F5E">
        <w:rPr>
          <w:rFonts w:cs="Calibri"/>
          <w:vertAlign w:val="superscript"/>
        </w:rPr>
        <w:t>–</w:t>
      </w:r>
      <w:r w:rsidR="00094F58">
        <w:rPr>
          <w:rFonts w:cs="Calibri"/>
          <w:vertAlign w:val="superscript"/>
        </w:rPr>
        <w:t>33</w:t>
      </w:r>
      <w:r w:rsidR="002D1A79" w:rsidRPr="00490F3E">
        <w:rPr>
          <w:rFonts w:cs="Calibri"/>
        </w:rPr>
        <w:t xml:space="preserve"> </w:t>
      </w:r>
      <w:r w:rsidR="00730572" w:rsidRPr="00490F3E">
        <w:rPr>
          <w:rFonts w:cs="Calibri"/>
        </w:rPr>
        <w:t>As a result</w:t>
      </w:r>
      <w:r w:rsidR="009D3619" w:rsidRPr="00490F3E">
        <w:rPr>
          <w:rFonts w:cs="Calibri"/>
        </w:rPr>
        <w:t>,</w:t>
      </w:r>
      <w:r w:rsidR="00730572" w:rsidRPr="00490F3E">
        <w:rPr>
          <w:rFonts w:cs="Calibri"/>
        </w:rPr>
        <w:t xml:space="preserve"> this classification </w:t>
      </w:r>
      <w:r w:rsidR="009D3619" w:rsidRPr="00490F3E">
        <w:rPr>
          <w:rFonts w:cs="Calibri"/>
        </w:rPr>
        <w:t xml:space="preserve">system </w:t>
      </w:r>
      <w:r w:rsidR="00730572" w:rsidRPr="00490F3E">
        <w:rPr>
          <w:rFonts w:cs="Calibri"/>
        </w:rPr>
        <w:t xml:space="preserve">has </w:t>
      </w:r>
      <w:r w:rsidR="007C3D4A" w:rsidRPr="00490F3E">
        <w:rPr>
          <w:rFonts w:cs="Calibri"/>
        </w:rPr>
        <w:t>neither</w:t>
      </w:r>
      <w:r w:rsidR="00730572" w:rsidRPr="00490F3E">
        <w:rPr>
          <w:rFonts w:cs="Calibri"/>
        </w:rPr>
        <w:t xml:space="preserve"> improved scientific insight </w:t>
      </w:r>
      <w:r w:rsidR="007C3D4A" w:rsidRPr="00490F3E">
        <w:rPr>
          <w:rFonts w:cs="Calibri"/>
        </w:rPr>
        <w:t xml:space="preserve">nor has it </w:t>
      </w:r>
      <w:r w:rsidR="00173214" w:rsidRPr="00490F3E">
        <w:rPr>
          <w:rFonts w:cs="Calibri"/>
        </w:rPr>
        <w:t>been clinically useful in directing therapy or predicting hard outcomes</w:t>
      </w:r>
      <w:r w:rsidR="00730572" w:rsidRPr="00490F3E">
        <w:rPr>
          <w:rFonts w:cs="Calibri"/>
        </w:rPr>
        <w:t xml:space="preserve">. </w:t>
      </w:r>
      <w:r w:rsidR="007C3D4A" w:rsidRPr="00490F3E">
        <w:rPr>
          <w:rFonts w:cs="Calibri"/>
        </w:rPr>
        <w:t>W</w:t>
      </w:r>
      <w:r w:rsidR="002D1A79" w:rsidRPr="00490F3E">
        <w:rPr>
          <w:rFonts w:cs="Calibri"/>
        </w:rPr>
        <w:t>e suggest that the TG level itself</w:t>
      </w:r>
      <w:r w:rsidR="002B0FE2" w:rsidRPr="00490F3E">
        <w:rPr>
          <w:rFonts w:cs="Calibri"/>
        </w:rPr>
        <w:t xml:space="preserve"> (</w:t>
      </w:r>
      <w:r w:rsidR="002B0FE2" w:rsidRPr="00896E35">
        <w:rPr>
          <w:rFonts w:cs="Calibri"/>
          <w:b/>
        </w:rPr>
        <w:t xml:space="preserve">Fig </w:t>
      </w:r>
      <w:r w:rsidR="00BE4A59" w:rsidRPr="00896E35">
        <w:rPr>
          <w:rFonts w:cs="Calibri"/>
          <w:b/>
        </w:rPr>
        <w:t>1</w:t>
      </w:r>
      <w:r w:rsidR="002B0FE2" w:rsidRPr="00490F3E">
        <w:rPr>
          <w:rFonts w:cs="Calibri"/>
        </w:rPr>
        <w:t>)</w:t>
      </w:r>
      <w:r w:rsidR="002D1A79" w:rsidRPr="00490F3E">
        <w:rPr>
          <w:rFonts w:cs="Calibri"/>
        </w:rPr>
        <w:t xml:space="preserve">, together with the presence of other </w:t>
      </w:r>
      <w:r w:rsidR="00730572" w:rsidRPr="00490F3E">
        <w:rPr>
          <w:rFonts w:cs="Calibri"/>
        </w:rPr>
        <w:t>risk factors</w:t>
      </w:r>
      <w:r w:rsidR="00C75DE2" w:rsidRPr="00490F3E">
        <w:rPr>
          <w:rFonts w:cs="Calibri"/>
        </w:rPr>
        <w:t>,</w:t>
      </w:r>
      <w:r w:rsidR="00730572" w:rsidRPr="00490F3E">
        <w:rPr>
          <w:rFonts w:cs="Calibri"/>
        </w:rPr>
        <w:t xml:space="preserve"> </w:t>
      </w:r>
      <w:r w:rsidR="002D1A79" w:rsidRPr="00490F3E">
        <w:rPr>
          <w:rFonts w:cs="Calibri"/>
        </w:rPr>
        <w:t xml:space="preserve">should be the primary </w:t>
      </w:r>
      <w:r w:rsidR="00CB09CD" w:rsidRPr="00490F3E">
        <w:rPr>
          <w:rFonts w:cs="Calibri"/>
        </w:rPr>
        <w:t xml:space="preserve">driver of </w:t>
      </w:r>
      <w:r w:rsidR="00C75DE2" w:rsidRPr="00490F3E">
        <w:rPr>
          <w:rFonts w:cs="Calibri"/>
        </w:rPr>
        <w:t>clinical management</w:t>
      </w:r>
      <w:r w:rsidR="00490F3E">
        <w:rPr>
          <w:rFonts w:cs="Calibri"/>
        </w:rPr>
        <w:t xml:space="preserve">. </w:t>
      </w:r>
    </w:p>
    <w:p w:rsidR="00BF57A9" w:rsidRDefault="00BF57A9" w:rsidP="00A70A16">
      <w:pPr>
        <w:spacing w:after="0"/>
        <w:rPr>
          <w:rFonts w:cs="Calibri"/>
        </w:rPr>
        <w:sectPr w:rsidR="00BF57A9" w:rsidSect="00BF57A9">
          <w:type w:val="continuous"/>
          <w:pgSz w:w="12240" w:h="15840"/>
          <w:pgMar w:top="1440" w:right="1440" w:bottom="1440" w:left="1440" w:header="708" w:footer="708" w:gutter="0"/>
          <w:cols w:num="2" w:space="708"/>
          <w:docGrid w:linePitch="360"/>
        </w:sectPr>
      </w:pPr>
    </w:p>
    <w:p w:rsidR="00896E35" w:rsidRDefault="00896E35" w:rsidP="00A70A16">
      <w:pPr>
        <w:spacing w:after="0"/>
        <w:rPr>
          <w:rFonts w:cs="Calibri"/>
        </w:rPr>
      </w:pPr>
    </w:p>
    <w:p w:rsidR="00896E35" w:rsidRDefault="00896E35" w:rsidP="00896E35">
      <w:pPr>
        <w:pBdr>
          <w:top w:val="single" w:sz="4" w:space="1" w:color="auto"/>
          <w:left w:val="single" w:sz="4" w:space="4" w:color="auto"/>
          <w:bottom w:val="single" w:sz="4" w:space="1" w:color="auto"/>
          <w:right w:val="single" w:sz="4" w:space="0" w:color="auto"/>
        </w:pBdr>
        <w:spacing w:after="0"/>
        <w:rPr>
          <w:rFonts w:cs="Calibri"/>
        </w:rPr>
      </w:pPr>
      <w:r>
        <w:rPr>
          <w:rFonts w:cs="Calibri"/>
          <w:noProof/>
          <w:lang w:val="nb-NO" w:eastAsia="nb-NO"/>
        </w:rPr>
        <w:drawing>
          <wp:inline distT="0" distB="0" distL="0" distR="0">
            <wp:extent cx="4572635" cy="3429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896E35" w:rsidRPr="009A5415" w:rsidRDefault="00896E35" w:rsidP="009A5415">
      <w:pPr>
        <w:spacing w:before="240" w:after="0"/>
        <w:rPr>
          <w:rFonts w:cs="Calibri"/>
          <w:sz w:val="20"/>
          <w:szCs w:val="20"/>
        </w:rPr>
      </w:pPr>
      <w:r w:rsidRPr="00896E35">
        <w:rPr>
          <w:rFonts w:cs="Calibri"/>
          <w:b/>
          <w:color w:val="C00000"/>
        </w:rPr>
        <w:t>Figure 1. Re-definition of hypertriglyceridaemic states based on new genetic data.</w:t>
      </w:r>
      <w:r w:rsidRPr="00896E35">
        <w:rPr>
          <w:rFonts w:cs="Calibri"/>
        </w:rPr>
        <w:t xml:space="preserve"> </w:t>
      </w:r>
      <w:r>
        <w:rPr>
          <w:rFonts w:cs="Calibri"/>
        </w:rPr>
        <w:t xml:space="preserve">                                    </w:t>
      </w:r>
      <w:r w:rsidRPr="009A5415">
        <w:rPr>
          <w:rFonts w:cs="Calibri"/>
          <w:sz w:val="20"/>
          <w:szCs w:val="20"/>
        </w:rPr>
        <w:t xml:space="preserve">Triglyceride (TG) levels &gt;10 mmol/L, especially in younger patients, are more likely to be due to monogenic causes together with secondary factors, while TG levels between 2 and 10 mmol/L represent a single group based on the interplay of multiple genes (both heterozygous mutations of large effect and cumulative burden of small effect variants causing a high "genetic risk score") (see </w:t>
      </w:r>
      <w:r w:rsidRPr="009A5415">
        <w:rPr>
          <w:rFonts w:cs="Calibri"/>
          <w:b/>
          <w:sz w:val="20"/>
          <w:szCs w:val="20"/>
        </w:rPr>
        <w:t>Supplemental Table 1</w:t>
      </w:r>
      <w:r w:rsidRPr="009A5415">
        <w:rPr>
          <w:rFonts w:cs="Calibri"/>
          <w:sz w:val="20"/>
          <w:szCs w:val="20"/>
        </w:rPr>
        <w:t xml:space="preserve"> and </w:t>
      </w:r>
      <w:r w:rsidRPr="009A5415">
        <w:rPr>
          <w:rFonts w:cs="Calibri"/>
          <w:b/>
          <w:sz w:val="20"/>
          <w:szCs w:val="20"/>
        </w:rPr>
        <w:t>Fi</w:t>
      </w:r>
      <w:r w:rsidR="003E16B6">
        <w:rPr>
          <w:rFonts w:cs="Calibri"/>
          <w:b/>
          <w:sz w:val="20"/>
          <w:szCs w:val="20"/>
        </w:rPr>
        <w:t>g</w:t>
      </w:r>
      <w:r w:rsidRPr="009A5415">
        <w:rPr>
          <w:rFonts w:cs="Calibri"/>
          <w:b/>
          <w:sz w:val="20"/>
          <w:szCs w:val="20"/>
        </w:rPr>
        <w:t xml:space="preserve"> 2</w:t>
      </w:r>
      <w:r w:rsidRPr="009A5415">
        <w:rPr>
          <w:rFonts w:cs="Calibri"/>
          <w:sz w:val="20"/>
          <w:szCs w:val="20"/>
        </w:rPr>
        <w:t>), together with secondary factors. Plasma TG levels and approximate population percentages are based on &gt;70 000 adult individuals (&gt;20 years of age) from the Copenhagen General Population Study.</w:t>
      </w:r>
    </w:p>
    <w:p w:rsidR="00896E35" w:rsidRPr="003074E2" w:rsidRDefault="00896E35" w:rsidP="00A70A16">
      <w:pPr>
        <w:spacing w:after="0"/>
        <w:rPr>
          <w:rFonts w:cs="Calibri"/>
        </w:rPr>
      </w:pPr>
    </w:p>
    <w:p w:rsidR="00410AC4" w:rsidRDefault="00410AC4">
      <w:pPr>
        <w:spacing w:after="0" w:line="240" w:lineRule="auto"/>
        <w:rPr>
          <w:rFonts w:cs="Calibri"/>
          <w:b/>
          <w:color w:val="C00000"/>
          <w:sz w:val="24"/>
          <w:szCs w:val="24"/>
        </w:rPr>
      </w:pPr>
      <w:r>
        <w:rPr>
          <w:rFonts w:cs="Calibri"/>
          <w:b/>
          <w:color w:val="C00000"/>
          <w:sz w:val="24"/>
          <w:szCs w:val="24"/>
        </w:rPr>
        <w:br w:type="page"/>
      </w:r>
    </w:p>
    <w:p w:rsidR="00BF57A9" w:rsidRDefault="00BF57A9" w:rsidP="00A70A16">
      <w:pPr>
        <w:spacing w:after="0"/>
        <w:rPr>
          <w:rFonts w:cs="Calibri"/>
          <w:b/>
          <w:color w:val="C00000"/>
          <w:sz w:val="24"/>
          <w:szCs w:val="24"/>
        </w:rPr>
        <w:sectPr w:rsidR="00BF57A9" w:rsidSect="00A25FE8">
          <w:type w:val="continuous"/>
          <w:pgSz w:w="12240" w:h="15840"/>
          <w:pgMar w:top="1440" w:right="1440" w:bottom="1440" w:left="1440" w:header="708" w:footer="708" w:gutter="0"/>
          <w:cols w:space="708"/>
          <w:docGrid w:linePitch="360"/>
        </w:sectPr>
      </w:pPr>
    </w:p>
    <w:p w:rsidR="002D1A79" w:rsidRPr="00896E35" w:rsidRDefault="002D1A79" w:rsidP="00EB4DDC">
      <w:pPr>
        <w:spacing w:after="0" w:line="240" w:lineRule="auto"/>
        <w:rPr>
          <w:rFonts w:cs="Calibri"/>
          <w:b/>
          <w:color w:val="C00000"/>
          <w:sz w:val="24"/>
          <w:szCs w:val="24"/>
        </w:rPr>
      </w:pPr>
      <w:r w:rsidRPr="00896E35">
        <w:rPr>
          <w:rFonts w:cs="Calibri"/>
          <w:b/>
          <w:color w:val="C00000"/>
          <w:sz w:val="24"/>
          <w:szCs w:val="24"/>
        </w:rPr>
        <w:lastRenderedPageBreak/>
        <w:t>Complex genetic basis for HTG</w:t>
      </w:r>
    </w:p>
    <w:p w:rsidR="00896E35" w:rsidRDefault="00173214" w:rsidP="003E16B6">
      <w:pPr>
        <w:spacing w:after="0"/>
        <w:rPr>
          <w:rFonts w:cs="Calibri"/>
        </w:rPr>
      </w:pPr>
      <w:r>
        <w:rPr>
          <w:rFonts w:cs="Calibri"/>
        </w:rPr>
        <w:t>For several</w:t>
      </w:r>
      <w:r w:rsidR="002D1A79" w:rsidRPr="003074E2">
        <w:rPr>
          <w:rFonts w:cs="Calibri"/>
        </w:rPr>
        <w:t xml:space="preserve"> decades, the word “familial” has been used in the definitions and classification of disorders of plasma TG metabolism. However, the constant reinforcement of </w:t>
      </w:r>
      <w:r w:rsidR="00730572">
        <w:rPr>
          <w:rFonts w:cs="Calibri"/>
        </w:rPr>
        <w:t xml:space="preserve">this </w:t>
      </w:r>
      <w:r w:rsidR="002D1A79" w:rsidRPr="003074E2">
        <w:rPr>
          <w:rFonts w:cs="Calibri"/>
        </w:rPr>
        <w:t xml:space="preserve">terminology </w:t>
      </w:r>
      <w:r w:rsidR="00730572">
        <w:rPr>
          <w:rFonts w:cs="Calibri"/>
        </w:rPr>
        <w:t>has</w:t>
      </w:r>
      <w:r w:rsidR="002D1A79" w:rsidRPr="003074E2">
        <w:rPr>
          <w:rFonts w:cs="Calibri"/>
        </w:rPr>
        <w:t xml:space="preserve"> a misleading effect. Colloquially, “familial” often implies a single-gene problem, as in the case of "familial hypercholesterol</w:t>
      </w:r>
      <w:r w:rsidR="007B1479">
        <w:rPr>
          <w:rFonts w:cs="Calibri"/>
        </w:rPr>
        <w:t>a</w:t>
      </w:r>
      <w:r w:rsidR="002D1A79" w:rsidRPr="003074E2">
        <w:rPr>
          <w:rFonts w:cs="Calibri"/>
        </w:rPr>
        <w:t xml:space="preserve">emia", a monogenic disorder </w:t>
      </w:r>
      <w:r w:rsidR="007B1479" w:rsidRPr="003074E2">
        <w:rPr>
          <w:rFonts w:cs="Calibri"/>
        </w:rPr>
        <w:t>characteri</w:t>
      </w:r>
      <w:r w:rsidR="007B1479">
        <w:rPr>
          <w:rFonts w:cs="Calibri"/>
        </w:rPr>
        <w:t>s</w:t>
      </w:r>
      <w:r w:rsidR="007B1479" w:rsidRPr="003074E2">
        <w:rPr>
          <w:rFonts w:cs="Calibri"/>
        </w:rPr>
        <w:t xml:space="preserve">ed </w:t>
      </w:r>
      <w:r w:rsidR="002D1A79" w:rsidRPr="003074E2">
        <w:rPr>
          <w:rFonts w:cs="Calibri"/>
        </w:rPr>
        <w:t xml:space="preserve">by elevated LDL cholesterol levels, </w:t>
      </w:r>
      <w:r w:rsidR="001101C4" w:rsidRPr="001101C4">
        <w:rPr>
          <w:rFonts w:cs="Calibri"/>
        </w:rPr>
        <w:t>xanthelasma palpebrarum, arcus cornealis, tendon xanthomata</w:t>
      </w:r>
      <w:r w:rsidR="002D1A79" w:rsidRPr="003074E2">
        <w:rPr>
          <w:rFonts w:cs="Calibri"/>
        </w:rPr>
        <w:t>, and accelerated atherosclerosis</w:t>
      </w:r>
      <w:r w:rsidR="007308F8">
        <w:rPr>
          <w:rFonts w:cs="Calibri"/>
        </w:rPr>
        <w:t>.</w:t>
      </w:r>
      <w:r w:rsidR="00BE4A59" w:rsidRPr="00997DBF">
        <w:rPr>
          <w:rFonts w:cs="Calibri"/>
          <w:vertAlign w:val="superscript"/>
        </w:rPr>
        <w:t>2</w:t>
      </w:r>
      <w:r w:rsidR="00094F58">
        <w:rPr>
          <w:rFonts w:cs="Calibri"/>
          <w:vertAlign w:val="superscript"/>
        </w:rPr>
        <w:t>8</w:t>
      </w:r>
      <w:r w:rsidR="002D1A79" w:rsidRPr="003074E2">
        <w:rPr>
          <w:rFonts w:cs="Calibri"/>
        </w:rPr>
        <w:t xml:space="preserve"> </w:t>
      </w:r>
      <w:r w:rsidR="002B0FE2" w:rsidRPr="003074E2">
        <w:rPr>
          <w:rFonts w:cs="Calibri"/>
        </w:rPr>
        <w:t>Familial hypercholesterol</w:t>
      </w:r>
      <w:r w:rsidR="007B1479">
        <w:rPr>
          <w:rFonts w:cs="Calibri"/>
        </w:rPr>
        <w:t>a</w:t>
      </w:r>
      <w:r w:rsidR="002B0FE2" w:rsidRPr="003074E2">
        <w:rPr>
          <w:rFonts w:cs="Calibri"/>
        </w:rPr>
        <w:t>emia</w:t>
      </w:r>
      <w:r w:rsidR="002D1A79" w:rsidRPr="003074E2">
        <w:rPr>
          <w:rFonts w:cs="Calibri"/>
        </w:rPr>
        <w:t xml:space="preserve"> is </w:t>
      </w:r>
      <w:r w:rsidR="004C5F80">
        <w:rPr>
          <w:rFonts w:cs="Calibri"/>
        </w:rPr>
        <w:t>usually</w:t>
      </w:r>
      <w:r w:rsidR="002D1A79" w:rsidRPr="003074E2">
        <w:rPr>
          <w:rFonts w:cs="Calibri"/>
        </w:rPr>
        <w:t xml:space="preserve"> due to loss-of-function mutations in the </w:t>
      </w:r>
      <w:r w:rsidR="002D1A79" w:rsidRPr="003074E2">
        <w:rPr>
          <w:rFonts w:cs="Calibri"/>
          <w:i/>
        </w:rPr>
        <w:t>LDLR</w:t>
      </w:r>
      <w:r w:rsidR="002D1A79" w:rsidRPr="003074E2">
        <w:rPr>
          <w:rFonts w:cs="Calibri"/>
        </w:rPr>
        <w:t xml:space="preserve"> gene encoding the LDL receptor, and in other genes encoding proteins that interact with the LDL receptor</w:t>
      </w:r>
      <w:r w:rsidR="00F83426">
        <w:rPr>
          <w:rFonts w:cs="Calibri"/>
        </w:rPr>
        <w:t xml:space="preserve">, such as </w:t>
      </w:r>
      <w:r w:rsidR="00F83426">
        <w:rPr>
          <w:rFonts w:cs="Calibri"/>
          <w:i/>
        </w:rPr>
        <w:t>APOB</w:t>
      </w:r>
      <w:r w:rsidR="00F83426">
        <w:rPr>
          <w:rFonts w:cs="Calibri"/>
        </w:rPr>
        <w:t xml:space="preserve"> or </w:t>
      </w:r>
      <w:r w:rsidR="00F83426">
        <w:rPr>
          <w:rFonts w:cs="Calibri"/>
          <w:i/>
        </w:rPr>
        <w:t>PCSK9</w:t>
      </w:r>
      <w:r w:rsidR="002D1A79" w:rsidRPr="003074E2">
        <w:rPr>
          <w:rFonts w:cs="Calibri"/>
        </w:rPr>
        <w:t xml:space="preserve">. </w:t>
      </w:r>
      <w:r w:rsidR="0073425E" w:rsidRPr="0073425E">
        <w:rPr>
          <w:rFonts w:cs="Calibri"/>
        </w:rPr>
        <w:t>In patients with the strongest suspicion of a clinical diagnosis of familial hypercholesterol</w:t>
      </w:r>
      <w:r w:rsidR="007B1479">
        <w:rPr>
          <w:rFonts w:cs="Calibri"/>
        </w:rPr>
        <w:t>a</w:t>
      </w:r>
      <w:r w:rsidR="0073425E" w:rsidRPr="0073425E">
        <w:rPr>
          <w:rFonts w:cs="Calibri"/>
        </w:rPr>
        <w:t xml:space="preserve">emia a clear monogenic cause can be found in </w:t>
      </w:r>
      <w:r w:rsidR="00816675">
        <w:rPr>
          <w:rFonts w:cs="Calibri"/>
        </w:rPr>
        <w:t>&gt;80%</w:t>
      </w:r>
      <w:r w:rsidR="0073425E" w:rsidRPr="0073425E">
        <w:rPr>
          <w:rFonts w:cs="Calibri"/>
        </w:rPr>
        <w:t xml:space="preserve">, while in the remainder </w:t>
      </w:r>
      <w:r w:rsidR="009D3619">
        <w:rPr>
          <w:rFonts w:cs="Calibri"/>
        </w:rPr>
        <w:t xml:space="preserve">the elevated LDL cholesterol is </w:t>
      </w:r>
      <w:r w:rsidR="000708D4">
        <w:rPr>
          <w:rFonts w:cs="Calibri"/>
        </w:rPr>
        <w:t xml:space="preserve">a polygenic trait </w:t>
      </w:r>
      <w:r w:rsidR="009D3619">
        <w:rPr>
          <w:rFonts w:cs="Calibri"/>
        </w:rPr>
        <w:t xml:space="preserve">due to </w:t>
      </w:r>
      <w:r w:rsidR="002D1A79" w:rsidRPr="003074E2">
        <w:rPr>
          <w:rFonts w:cs="Calibri"/>
        </w:rPr>
        <w:t>an increased burden of common risk variants</w:t>
      </w:r>
      <w:r w:rsidR="007308F8">
        <w:rPr>
          <w:rFonts w:cs="Calibri"/>
        </w:rPr>
        <w:t>.</w:t>
      </w:r>
      <w:r w:rsidR="004B3BFB" w:rsidRPr="00997DBF">
        <w:rPr>
          <w:rFonts w:cs="Calibri"/>
          <w:vertAlign w:val="superscript"/>
        </w:rPr>
        <w:t>3</w:t>
      </w:r>
      <w:r w:rsidR="00094F58">
        <w:rPr>
          <w:rFonts w:cs="Calibri"/>
          <w:vertAlign w:val="superscript"/>
        </w:rPr>
        <w:t>4</w:t>
      </w:r>
      <w:r w:rsidR="002D1A79" w:rsidRPr="003074E2">
        <w:rPr>
          <w:rFonts w:cs="Calibri"/>
        </w:rPr>
        <w:t xml:space="preserve"> In </w:t>
      </w:r>
      <w:r w:rsidR="00730572">
        <w:rPr>
          <w:rFonts w:cs="Calibri"/>
        </w:rPr>
        <w:t xml:space="preserve">stark </w:t>
      </w:r>
      <w:r w:rsidR="002D1A79" w:rsidRPr="003074E2">
        <w:rPr>
          <w:rFonts w:cs="Calibri"/>
        </w:rPr>
        <w:t>contrast,</w:t>
      </w:r>
      <w:r w:rsidR="00014004" w:rsidRPr="003074E2">
        <w:rPr>
          <w:rFonts w:cs="Calibri"/>
        </w:rPr>
        <w:t xml:space="preserve"> &gt;95% of</w:t>
      </w:r>
      <w:r w:rsidR="002D1A79" w:rsidRPr="003074E2">
        <w:rPr>
          <w:rFonts w:cs="Calibri"/>
        </w:rPr>
        <w:t xml:space="preserve"> </w:t>
      </w:r>
      <w:r w:rsidR="003074E2">
        <w:rPr>
          <w:rFonts w:cs="Calibri"/>
        </w:rPr>
        <w:t>individual</w:t>
      </w:r>
      <w:r w:rsidR="002D1A79" w:rsidRPr="003074E2">
        <w:rPr>
          <w:rFonts w:cs="Calibri"/>
        </w:rPr>
        <w:t xml:space="preserve">s </w:t>
      </w:r>
      <w:r w:rsidR="00CB09CD">
        <w:rPr>
          <w:rFonts w:cs="Calibri"/>
        </w:rPr>
        <w:t xml:space="preserve">with HTG </w:t>
      </w:r>
      <w:r w:rsidR="002D1A79" w:rsidRPr="003074E2">
        <w:rPr>
          <w:rFonts w:cs="Calibri"/>
        </w:rPr>
        <w:t>have a multigenic susceptibility component</w:t>
      </w:r>
      <w:r w:rsidR="007308F8">
        <w:rPr>
          <w:rFonts w:cs="Calibri"/>
        </w:rPr>
        <w:t>.</w:t>
      </w:r>
      <w:r w:rsidR="00562259" w:rsidRPr="00997DBF">
        <w:rPr>
          <w:rFonts w:cs="Calibri"/>
          <w:vertAlign w:val="superscript"/>
        </w:rPr>
        <w:t>3,2</w:t>
      </w:r>
      <w:r w:rsidR="004B3BFB" w:rsidRPr="00997DBF">
        <w:rPr>
          <w:rFonts w:cs="Calibri"/>
          <w:vertAlign w:val="superscript"/>
        </w:rPr>
        <w:t>9</w:t>
      </w:r>
      <w:r w:rsidR="00EB4DDC">
        <w:rPr>
          <w:rFonts w:cs="Calibri"/>
          <w:vertAlign w:val="superscript"/>
        </w:rPr>
        <w:noBreakHyphen/>
      </w:r>
      <w:r w:rsidR="00094F58">
        <w:rPr>
          <w:rFonts w:cs="Calibri"/>
          <w:vertAlign w:val="superscript"/>
        </w:rPr>
        <w:t>33</w:t>
      </w:r>
      <w:r w:rsidR="002D1A79" w:rsidRPr="003074E2">
        <w:rPr>
          <w:rFonts w:cs="Calibri"/>
        </w:rPr>
        <w:t xml:space="preserve"> </w:t>
      </w:r>
    </w:p>
    <w:p w:rsidR="002D1A79" w:rsidRDefault="002D1A79" w:rsidP="00A70A16">
      <w:pPr>
        <w:spacing w:after="0"/>
        <w:rPr>
          <w:rFonts w:cs="Calibri"/>
        </w:rPr>
      </w:pPr>
      <w:r w:rsidRPr="003074E2">
        <w:rPr>
          <w:rFonts w:cs="Calibri"/>
        </w:rPr>
        <w:t xml:space="preserve">Multigenic HTG </w:t>
      </w:r>
      <w:r w:rsidR="00C33AA8">
        <w:rPr>
          <w:rFonts w:cs="Calibri"/>
        </w:rPr>
        <w:t>has</w:t>
      </w:r>
      <w:r w:rsidR="00BA4946">
        <w:rPr>
          <w:rFonts w:cs="Calibri"/>
        </w:rPr>
        <w:t xml:space="preserve"> a</w:t>
      </w:r>
      <w:r w:rsidRPr="003074E2">
        <w:rPr>
          <w:rFonts w:cs="Calibri"/>
        </w:rPr>
        <w:t xml:space="preserve"> complex </w:t>
      </w:r>
      <w:r w:rsidR="00ED00FF">
        <w:rPr>
          <w:rFonts w:cs="Calibri"/>
        </w:rPr>
        <w:t>a</w:t>
      </w:r>
      <w:r w:rsidRPr="003074E2">
        <w:rPr>
          <w:rFonts w:cs="Calibri"/>
        </w:rPr>
        <w:t xml:space="preserve">etiology consisting of an excess burden of common small-effect variants </w:t>
      </w:r>
      <w:r w:rsidR="00EC776C">
        <w:rPr>
          <w:rFonts w:cs="Calibri"/>
        </w:rPr>
        <w:t>(</w:t>
      </w:r>
      <w:r w:rsidR="00F771D1">
        <w:rPr>
          <w:rFonts w:cs="Calibri"/>
        </w:rPr>
        <w:t xml:space="preserve">Supplemental </w:t>
      </w:r>
      <w:r w:rsidR="00EC776C">
        <w:rPr>
          <w:rFonts w:cs="Calibri"/>
        </w:rPr>
        <w:t xml:space="preserve">Table </w:t>
      </w:r>
      <w:r w:rsidR="00F771D1">
        <w:rPr>
          <w:rFonts w:cs="Calibri"/>
        </w:rPr>
        <w:t>1</w:t>
      </w:r>
      <w:r w:rsidR="00EC776C">
        <w:rPr>
          <w:rFonts w:cs="Calibri"/>
        </w:rPr>
        <w:t>)</w:t>
      </w:r>
      <w:r w:rsidR="0044573C">
        <w:rPr>
          <w:rFonts w:cs="Calibri"/>
        </w:rPr>
        <w:t>,</w:t>
      </w:r>
      <w:r w:rsidR="00EC776C">
        <w:rPr>
          <w:rFonts w:cs="Calibri"/>
        </w:rPr>
        <w:t xml:space="preserve"> </w:t>
      </w:r>
      <w:r w:rsidRPr="003074E2">
        <w:rPr>
          <w:rFonts w:cs="Calibri"/>
        </w:rPr>
        <w:t xml:space="preserve">in addition to rare heterozygous large-effect variants in genes </w:t>
      </w:r>
      <w:r w:rsidR="003920FB">
        <w:rPr>
          <w:rFonts w:cs="Calibri"/>
        </w:rPr>
        <w:t xml:space="preserve">either directly or indirectly </w:t>
      </w:r>
      <w:r w:rsidRPr="003074E2">
        <w:rPr>
          <w:rFonts w:cs="Calibri"/>
        </w:rPr>
        <w:t xml:space="preserve">associated with plasma TG concentration. </w:t>
      </w:r>
      <w:r w:rsidR="004C5F80">
        <w:rPr>
          <w:rFonts w:cs="Calibri"/>
        </w:rPr>
        <w:t>But</w:t>
      </w:r>
      <w:r w:rsidRPr="003074E2">
        <w:rPr>
          <w:rFonts w:cs="Calibri"/>
        </w:rPr>
        <w:t xml:space="preserve"> “familial” </w:t>
      </w:r>
      <w:r w:rsidR="004C5F80">
        <w:rPr>
          <w:rFonts w:cs="Calibri"/>
        </w:rPr>
        <w:t xml:space="preserve">should not be considered synonymous </w:t>
      </w:r>
      <w:r w:rsidRPr="003074E2">
        <w:rPr>
          <w:rFonts w:cs="Calibri"/>
        </w:rPr>
        <w:t>with “monogenic”</w:t>
      </w:r>
      <w:r w:rsidR="00502F41">
        <w:rPr>
          <w:rFonts w:cs="Calibri"/>
        </w:rPr>
        <w:t>;</w:t>
      </w:r>
      <w:r w:rsidRPr="003074E2">
        <w:rPr>
          <w:rFonts w:cs="Calibri"/>
        </w:rPr>
        <w:t xml:space="preserve"> </w:t>
      </w:r>
      <w:r w:rsidR="003920FB">
        <w:rPr>
          <w:rFonts w:cs="Calibri"/>
        </w:rPr>
        <w:t xml:space="preserve">most </w:t>
      </w:r>
      <w:r w:rsidRPr="003074E2">
        <w:rPr>
          <w:rFonts w:cs="Calibri"/>
        </w:rPr>
        <w:t>cases of HTG are familial</w:t>
      </w:r>
      <w:r w:rsidR="00502F41">
        <w:rPr>
          <w:rFonts w:cs="Calibri"/>
        </w:rPr>
        <w:t xml:space="preserve"> or inherited</w:t>
      </w:r>
      <w:r w:rsidR="007C3D4A">
        <w:rPr>
          <w:rFonts w:cs="Calibri"/>
        </w:rPr>
        <w:t>, but</w:t>
      </w:r>
      <w:r w:rsidRPr="003074E2">
        <w:rPr>
          <w:rFonts w:cs="Calibri"/>
        </w:rPr>
        <w:t xml:space="preserve"> </w:t>
      </w:r>
      <w:r w:rsidR="007C3D4A">
        <w:rPr>
          <w:rFonts w:cs="Calibri"/>
        </w:rPr>
        <w:t xml:space="preserve">they </w:t>
      </w:r>
      <w:r w:rsidRPr="003074E2">
        <w:rPr>
          <w:rFonts w:cs="Calibri"/>
        </w:rPr>
        <w:t>are not monogenic</w:t>
      </w:r>
      <w:r w:rsidR="007308F8">
        <w:rPr>
          <w:rFonts w:cs="Calibri"/>
        </w:rPr>
        <w:t>.</w:t>
      </w:r>
      <w:r w:rsidR="00BE4A59" w:rsidRPr="00997DBF">
        <w:rPr>
          <w:rFonts w:cs="Calibri"/>
          <w:vertAlign w:val="superscript"/>
        </w:rPr>
        <w:t>2</w:t>
      </w:r>
      <w:r w:rsidR="00094F58">
        <w:rPr>
          <w:rFonts w:cs="Calibri"/>
          <w:vertAlign w:val="superscript"/>
        </w:rPr>
        <w:t>9,30</w:t>
      </w:r>
      <w:r w:rsidRPr="003074E2">
        <w:rPr>
          <w:rFonts w:cs="Calibri"/>
        </w:rPr>
        <w:t xml:space="preserve">   </w:t>
      </w:r>
    </w:p>
    <w:p w:rsidR="00896E35" w:rsidRPr="003074E2" w:rsidRDefault="00896E35" w:rsidP="00EB4DDC">
      <w:pPr>
        <w:spacing w:after="0" w:line="240" w:lineRule="auto"/>
        <w:rPr>
          <w:rFonts w:cs="Calibri"/>
        </w:rPr>
      </w:pPr>
    </w:p>
    <w:p w:rsidR="002D1A79" w:rsidRPr="00896E35" w:rsidRDefault="002D1A79" w:rsidP="00EB4DDC">
      <w:pPr>
        <w:spacing w:after="0" w:line="240" w:lineRule="auto"/>
        <w:rPr>
          <w:rFonts w:cs="Calibri"/>
          <w:b/>
          <w:i/>
          <w:color w:val="C00000"/>
        </w:rPr>
      </w:pPr>
      <w:r w:rsidRPr="00896E35">
        <w:rPr>
          <w:rFonts w:cs="Calibri"/>
          <w:b/>
          <w:i/>
          <w:color w:val="C00000"/>
        </w:rPr>
        <w:t>Monogenic HTG</w:t>
      </w:r>
    </w:p>
    <w:p w:rsidR="002D1A79" w:rsidRDefault="002D1A79" w:rsidP="00EB4DDC">
      <w:pPr>
        <w:spacing w:after="0"/>
        <w:rPr>
          <w:rFonts w:cs="Calibri"/>
        </w:rPr>
      </w:pPr>
      <w:r w:rsidRPr="003074E2">
        <w:rPr>
          <w:rFonts w:cs="Calibri"/>
        </w:rPr>
        <w:t xml:space="preserve">Monogenic HTG </w:t>
      </w:r>
      <w:r w:rsidR="002B0FE2" w:rsidRPr="003074E2">
        <w:rPr>
          <w:rFonts w:cs="Calibri"/>
        </w:rPr>
        <w:t>in individuals with severe HTG &gt;10</w:t>
      </w:r>
      <w:r w:rsidR="003920FB">
        <w:rPr>
          <w:rFonts w:cs="Calibri"/>
        </w:rPr>
        <w:t xml:space="preserve"> </w:t>
      </w:r>
      <w:r w:rsidR="002B0FE2" w:rsidRPr="003074E2">
        <w:rPr>
          <w:rFonts w:cs="Calibri"/>
        </w:rPr>
        <w:t xml:space="preserve">mmol/L </w:t>
      </w:r>
      <w:r w:rsidRPr="003074E2">
        <w:rPr>
          <w:rFonts w:cs="Calibri"/>
        </w:rPr>
        <w:t>displays classic autosomal recessive inheritance</w:t>
      </w:r>
      <w:r w:rsidR="00C33AA8">
        <w:rPr>
          <w:rFonts w:cs="Calibri"/>
        </w:rPr>
        <w:t xml:space="preserve">, with a </w:t>
      </w:r>
      <w:r w:rsidR="00C33AA8" w:rsidRPr="003074E2">
        <w:rPr>
          <w:rFonts w:cs="Calibri"/>
        </w:rPr>
        <w:t xml:space="preserve">population prevalence of </w:t>
      </w:r>
      <w:r w:rsidR="00C33AA8">
        <w:rPr>
          <w:rFonts w:cs="Calibri"/>
        </w:rPr>
        <w:t>approximately one in a million</w:t>
      </w:r>
      <w:r w:rsidR="00CB09CD">
        <w:rPr>
          <w:rFonts w:cs="Calibri"/>
        </w:rPr>
        <w:t xml:space="preserve">. Typically, the </w:t>
      </w:r>
      <w:r w:rsidR="00CB09CD">
        <w:rPr>
          <w:rFonts w:cs="Calibri"/>
        </w:rPr>
        <w:lastRenderedPageBreak/>
        <w:t>condition</w:t>
      </w:r>
      <w:r w:rsidRPr="003074E2">
        <w:rPr>
          <w:rFonts w:cs="Calibri"/>
        </w:rPr>
        <w:t xml:space="preserve"> is </w:t>
      </w:r>
      <w:r w:rsidR="00CB09CD">
        <w:rPr>
          <w:rFonts w:cs="Calibri"/>
        </w:rPr>
        <w:t>first evident</w:t>
      </w:r>
      <w:r w:rsidRPr="003074E2">
        <w:rPr>
          <w:rFonts w:cs="Calibri"/>
        </w:rPr>
        <w:t xml:space="preserve"> in childhood and adolescence. Affected individuals are often homozygous or compound heterozygous for large-effect, loss-of-function mutations in genes </w:t>
      </w:r>
      <w:r w:rsidR="009D3619">
        <w:rPr>
          <w:rFonts w:cs="Calibri"/>
        </w:rPr>
        <w:t>that regulate</w:t>
      </w:r>
      <w:r w:rsidRPr="003074E2">
        <w:rPr>
          <w:rFonts w:cs="Calibri"/>
        </w:rPr>
        <w:t xml:space="preserve"> catabolism </w:t>
      </w:r>
      <w:r w:rsidR="00730572">
        <w:rPr>
          <w:rFonts w:cs="Calibri"/>
        </w:rPr>
        <w:t>of</w:t>
      </w:r>
      <w:r w:rsidRPr="003074E2">
        <w:rPr>
          <w:rFonts w:cs="Calibri"/>
        </w:rPr>
        <w:t xml:space="preserve"> TG-rich lipoproteins, including </w:t>
      </w:r>
      <w:r w:rsidRPr="003074E2">
        <w:rPr>
          <w:rFonts w:cs="Calibri"/>
          <w:i/>
        </w:rPr>
        <w:t>LPL</w:t>
      </w:r>
      <w:r w:rsidRPr="003074E2">
        <w:rPr>
          <w:rFonts w:cs="Calibri"/>
        </w:rPr>
        <w:t xml:space="preserve">, </w:t>
      </w:r>
      <w:r w:rsidRPr="003074E2">
        <w:rPr>
          <w:rFonts w:cs="Calibri"/>
          <w:i/>
        </w:rPr>
        <w:t>APOC2</w:t>
      </w:r>
      <w:r w:rsidRPr="003074E2">
        <w:rPr>
          <w:rFonts w:cs="Calibri"/>
        </w:rPr>
        <w:t xml:space="preserve">, </w:t>
      </w:r>
      <w:r w:rsidRPr="003074E2">
        <w:rPr>
          <w:rFonts w:cs="Calibri"/>
          <w:i/>
        </w:rPr>
        <w:t>APOA5</w:t>
      </w:r>
      <w:r w:rsidRPr="003074E2">
        <w:rPr>
          <w:rFonts w:cs="Calibri"/>
        </w:rPr>
        <w:t xml:space="preserve">, </w:t>
      </w:r>
      <w:r w:rsidRPr="003074E2">
        <w:rPr>
          <w:rFonts w:cs="Calibri"/>
          <w:i/>
        </w:rPr>
        <w:t>LMF1</w:t>
      </w:r>
      <w:r w:rsidRPr="003074E2">
        <w:rPr>
          <w:rFonts w:cs="Calibri"/>
        </w:rPr>
        <w:t xml:space="preserve">, </w:t>
      </w:r>
      <w:r w:rsidRPr="003074E2">
        <w:rPr>
          <w:rFonts w:cs="Calibri"/>
          <w:i/>
        </w:rPr>
        <w:t>GPIHBP1</w:t>
      </w:r>
      <w:r w:rsidR="007B1479">
        <w:rPr>
          <w:rFonts w:cs="Calibri"/>
          <w:i/>
        </w:rPr>
        <w:t>,</w:t>
      </w:r>
      <w:r w:rsidRPr="003074E2">
        <w:rPr>
          <w:rFonts w:cs="Calibri"/>
        </w:rPr>
        <w:t xml:space="preserve"> and </w:t>
      </w:r>
      <w:r w:rsidRPr="003074E2">
        <w:rPr>
          <w:rFonts w:cs="Calibri"/>
          <w:i/>
        </w:rPr>
        <w:t>GPD1</w:t>
      </w:r>
      <w:r w:rsidRPr="003074E2">
        <w:t xml:space="preserve"> </w:t>
      </w:r>
      <w:r w:rsidR="00CB09CD">
        <w:t>(</w:t>
      </w:r>
      <w:r w:rsidRPr="003E16B6">
        <w:rPr>
          <w:rFonts w:cs="Calibri"/>
          <w:b/>
        </w:rPr>
        <w:t xml:space="preserve">Table </w:t>
      </w:r>
      <w:r w:rsidR="000708D4" w:rsidRPr="003E16B6">
        <w:rPr>
          <w:rFonts w:cs="Calibri"/>
          <w:b/>
        </w:rPr>
        <w:t>2</w:t>
      </w:r>
      <w:r w:rsidR="00CB09CD">
        <w:rPr>
          <w:rFonts w:cs="Calibri"/>
        </w:rPr>
        <w:t>)</w:t>
      </w:r>
      <w:r w:rsidRPr="003074E2">
        <w:rPr>
          <w:rFonts w:cs="Calibri"/>
        </w:rPr>
        <w:t>.</w:t>
      </w:r>
      <w:r w:rsidR="00094F58">
        <w:rPr>
          <w:rFonts w:cs="Calibri"/>
          <w:vertAlign w:val="superscript"/>
        </w:rPr>
        <w:t>31</w:t>
      </w:r>
      <w:r w:rsidR="005A5F5E">
        <w:rPr>
          <w:rFonts w:cs="Calibri"/>
          <w:vertAlign w:val="superscript"/>
        </w:rPr>
        <w:t>–</w:t>
      </w:r>
      <w:r w:rsidR="00094F58">
        <w:rPr>
          <w:rFonts w:cs="Calibri"/>
          <w:vertAlign w:val="superscript"/>
        </w:rPr>
        <w:t>33</w:t>
      </w:r>
      <w:r w:rsidR="00A6789E">
        <w:rPr>
          <w:rFonts w:cs="Calibri"/>
        </w:rPr>
        <w:t xml:space="preserve"> </w:t>
      </w:r>
      <w:r w:rsidR="003074E2">
        <w:rPr>
          <w:rFonts w:cs="Calibri"/>
        </w:rPr>
        <w:t>Individual</w:t>
      </w:r>
      <w:r w:rsidRPr="003074E2">
        <w:rPr>
          <w:rFonts w:cs="Calibri"/>
        </w:rPr>
        <w:t xml:space="preserve">s with monogenic </w:t>
      </w:r>
      <w:r w:rsidR="00730572">
        <w:rPr>
          <w:rFonts w:cs="Calibri"/>
        </w:rPr>
        <w:t>disorder</w:t>
      </w:r>
      <w:r w:rsidR="009D3619">
        <w:rPr>
          <w:rFonts w:cs="Calibri"/>
        </w:rPr>
        <w:t>s</w:t>
      </w:r>
      <w:r w:rsidRPr="003074E2">
        <w:rPr>
          <w:rFonts w:cs="Calibri"/>
        </w:rPr>
        <w:t xml:space="preserve"> have dramatically elevated fasting concentrations of chylomicrons, but </w:t>
      </w:r>
      <w:r w:rsidR="00700999">
        <w:rPr>
          <w:rFonts w:cs="Calibri"/>
        </w:rPr>
        <w:t>usually</w:t>
      </w:r>
      <w:r w:rsidRPr="003074E2">
        <w:rPr>
          <w:rFonts w:cs="Calibri"/>
        </w:rPr>
        <w:t xml:space="preserve"> do not develop premature atherosclerosis, likely due to size-exclusion</w:t>
      </w:r>
      <w:r w:rsidR="00C33AA8">
        <w:rPr>
          <w:rFonts w:cs="Calibri"/>
        </w:rPr>
        <w:t>, which limits the ability</w:t>
      </w:r>
      <w:r w:rsidRPr="003074E2">
        <w:rPr>
          <w:rFonts w:cs="Calibri"/>
        </w:rPr>
        <w:t xml:space="preserve"> of chylomicrons </w:t>
      </w:r>
      <w:r w:rsidR="00CB09CD">
        <w:rPr>
          <w:rFonts w:cs="Calibri"/>
        </w:rPr>
        <w:t xml:space="preserve">to </w:t>
      </w:r>
      <w:r w:rsidRPr="003074E2">
        <w:rPr>
          <w:rFonts w:cs="Calibri"/>
        </w:rPr>
        <w:t>traverse the vascular endothelial barrier</w:t>
      </w:r>
      <w:r w:rsidR="007308F8">
        <w:rPr>
          <w:rFonts w:cs="Calibri"/>
        </w:rPr>
        <w:t>.</w:t>
      </w:r>
      <w:r w:rsidR="00094F58">
        <w:rPr>
          <w:rFonts w:cs="Calibri"/>
          <w:vertAlign w:val="superscript"/>
        </w:rPr>
        <w:t>15-19</w:t>
      </w:r>
      <w:r w:rsidRPr="003074E2">
        <w:rPr>
          <w:rFonts w:cs="Calibri"/>
        </w:rPr>
        <w:t xml:space="preserve"> </w:t>
      </w:r>
      <w:r w:rsidR="00173214">
        <w:rPr>
          <w:rFonts w:cs="Calibri"/>
        </w:rPr>
        <w:t xml:space="preserve">In the </w:t>
      </w:r>
      <w:r w:rsidR="00A6789E">
        <w:rPr>
          <w:rFonts w:cs="Calibri"/>
        </w:rPr>
        <w:t>previous</w:t>
      </w:r>
      <w:r w:rsidR="00173214">
        <w:rPr>
          <w:rFonts w:cs="Calibri"/>
        </w:rPr>
        <w:t xml:space="preserve"> century</w:t>
      </w:r>
      <w:r w:rsidRPr="003074E2">
        <w:rPr>
          <w:rFonts w:cs="Calibri"/>
        </w:rPr>
        <w:t>, a diagnosis of LPL deficiency was established biochemically by the absence of LPL activity in plasma collected after intravenous heparin injection</w:t>
      </w:r>
      <w:r w:rsidR="007308F8">
        <w:rPr>
          <w:rFonts w:cs="Calibri"/>
        </w:rPr>
        <w:t>.</w:t>
      </w:r>
      <w:r w:rsidR="004B3BFB" w:rsidRPr="00997DBF">
        <w:rPr>
          <w:rFonts w:cs="Calibri"/>
          <w:vertAlign w:val="superscript"/>
        </w:rPr>
        <w:t>3</w:t>
      </w:r>
      <w:r w:rsidR="00094F58">
        <w:rPr>
          <w:rFonts w:cs="Calibri"/>
          <w:vertAlign w:val="superscript"/>
        </w:rPr>
        <w:t>5</w:t>
      </w:r>
      <w:r w:rsidRPr="003074E2">
        <w:rPr>
          <w:rFonts w:cs="Calibri"/>
        </w:rPr>
        <w:t xml:space="preserve"> </w:t>
      </w:r>
      <w:r w:rsidR="00CB09CD">
        <w:rPr>
          <w:rFonts w:cs="Calibri"/>
        </w:rPr>
        <w:t>Current</w:t>
      </w:r>
      <w:r w:rsidRPr="003074E2">
        <w:rPr>
          <w:rFonts w:cs="Calibri"/>
        </w:rPr>
        <w:t xml:space="preserve">ly, the diagnosis </w:t>
      </w:r>
      <w:r w:rsidR="00C33AA8">
        <w:rPr>
          <w:rFonts w:cs="Calibri"/>
        </w:rPr>
        <w:t>can be</w:t>
      </w:r>
      <w:r w:rsidRPr="003074E2">
        <w:rPr>
          <w:rFonts w:cs="Calibri"/>
        </w:rPr>
        <w:t xml:space="preserve"> made </w:t>
      </w:r>
      <w:r w:rsidR="00C33AA8">
        <w:rPr>
          <w:rFonts w:cs="Calibri"/>
        </w:rPr>
        <w:t xml:space="preserve">by DNA sequence analysis, which </w:t>
      </w:r>
      <w:r w:rsidRPr="003074E2">
        <w:rPr>
          <w:rFonts w:cs="Calibri"/>
        </w:rPr>
        <w:t>show</w:t>
      </w:r>
      <w:r w:rsidR="00C33AA8">
        <w:rPr>
          <w:rFonts w:cs="Calibri"/>
        </w:rPr>
        <w:t>s</w:t>
      </w:r>
      <w:r w:rsidRPr="003074E2">
        <w:rPr>
          <w:rFonts w:cs="Calibri"/>
        </w:rPr>
        <w:t xml:space="preserve"> mutations on both </w:t>
      </w:r>
      <w:r w:rsidRPr="00173214">
        <w:rPr>
          <w:rFonts w:cs="Calibri"/>
          <w:i/>
        </w:rPr>
        <w:t>LPL</w:t>
      </w:r>
      <w:r w:rsidRPr="003074E2">
        <w:rPr>
          <w:rFonts w:cs="Calibri"/>
        </w:rPr>
        <w:t xml:space="preserve"> alleles</w:t>
      </w:r>
      <w:r w:rsidR="00700999">
        <w:rPr>
          <w:rFonts w:cs="Calibri"/>
        </w:rPr>
        <w:t xml:space="preserve"> causing</w:t>
      </w:r>
      <w:r w:rsidRPr="003074E2">
        <w:rPr>
          <w:rFonts w:cs="Calibri"/>
        </w:rPr>
        <w:t xml:space="preserve"> complete LPL deficiency</w:t>
      </w:r>
      <w:r w:rsidR="00490F3E">
        <w:rPr>
          <w:rFonts w:cs="Calibri"/>
        </w:rPr>
        <w:t>; mutations in the other genes can also be detected by re</w:t>
      </w:r>
      <w:r w:rsidR="00746514">
        <w:rPr>
          <w:rFonts w:cs="Calibri"/>
        </w:rPr>
        <w:t>-</w:t>
      </w:r>
      <w:r w:rsidR="00490F3E">
        <w:rPr>
          <w:rFonts w:cs="Calibri"/>
        </w:rPr>
        <w:t>sequencing</w:t>
      </w:r>
      <w:r w:rsidR="007308F8">
        <w:rPr>
          <w:rFonts w:cs="Calibri"/>
        </w:rPr>
        <w:t>.</w:t>
      </w:r>
      <w:r w:rsidR="004B3BFB" w:rsidRPr="00997DBF">
        <w:rPr>
          <w:rFonts w:cs="Calibri"/>
          <w:vertAlign w:val="superscript"/>
        </w:rPr>
        <w:t>3</w:t>
      </w:r>
      <w:r w:rsidR="00094F58">
        <w:rPr>
          <w:rFonts w:cs="Calibri"/>
          <w:vertAlign w:val="superscript"/>
        </w:rPr>
        <w:t>6</w:t>
      </w:r>
      <w:r w:rsidRPr="003074E2">
        <w:rPr>
          <w:rFonts w:cs="Calibri"/>
        </w:rPr>
        <w:t xml:space="preserve"> </w:t>
      </w:r>
    </w:p>
    <w:p w:rsidR="00896E35" w:rsidRPr="003074E2" w:rsidRDefault="00896E35" w:rsidP="00EB4DDC">
      <w:pPr>
        <w:spacing w:after="0" w:line="240" w:lineRule="auto"/>
        <w:rPr>
          <w:rFonts w:cs="Calibri"/>
        </w:rPr>
      </w:pPr>
    </w:p>
    <w:p w:rsidR="002D1A79" w:rsidRPr="00BF57A9" w:rsidRDefault="002D1A79" w:rsidP="00EB4DDC">
      <w:pPr>
        <w:spacing w:after="0" w:line="240" w:lineRule="auto"/>
        <w:rPr>
          <w:rFonts w:cs="Calibri"/>
          <w:i/>
          <w:color w:val="C00000"/>
        </w:rPr>
      </w:pPr>
      <w:r w:rsidRPr="00BF57A9">
        <w:rPr>
          <w:rFonts w:cs="Calibri"/>
          <w:i/>
          <w:color w:val="C00000"/>
        </w:rPr>
        <w:t>Multigenic HTG: role of rare variants</w:t>
      </w:r>
    </w:p>
    <w:p w:rsidR="00173214" w:rsidRDefault="002D1A79" w:rsidP="00A70A16">
      <w:pPr>
        <w:spacing w:after="0"/>
        <w:rPr>
          <w:rFonts w:cs="Calibri"/>
        </w:rPr>
      </w:pPr>
      <w:r w:rsidRPr="003074E2">
        <w:rPr>
          <w:rFonts w:cs="Calibri"/>
        </w:rPr>
        <w:t xml:space="preserve">HTG, with or without concomitant </w:t>
      </w:r>
      <w:r w:rsidR="00CE5694">
        <w:rPr>
          <w:rFonts w:cs="Calibri"/>
        </w:rPr>
        <w:t xml:space="preserve">lipid or lipoprotein </w:t>
      </w:r>
      <w:r w:rsidRPr="003074E2">
        <w:rPr>
          <w:rFonts w:cs="Calibri"/>
        </w:rPr>
        <w:t xml:space="preserve">disturbances, tends to cluster in families. While HTG </w:t>
      </w:r>
      <w:r w:rsidR="00CB09CD">
        <w:rPr>
          <w:rFonts w:cs="Calibri"/>
        </w:rPr>
        <w:t>usually</w:t>
      </w:r>
      <w:r w:rsidR="003920FB">
        <w:rPr>
          <w:rFonts w:cs="Calibri"/>
        </w:rPr>
        <w:t xml:space="preserve"> </w:t>
      </w:r>
      <w:r w:rsidRPr="003074E2">
        <w:rPr>
          <w:rFonts w:cs="Calibri"/>
        </w:rPr>
        <w:t>does not result from strong single gene effects</w:t>
      </w:r>
      <w:r w:rsidR="007B38F3">
        <w:rPr>
          <w:rFonts w:cs="Calibri"/>
        </w:rPr>
        <w:t xml:space="preserve"> that show Mendelian inheritance</w:t>
      </w:r>
      <w:r w:rsidRPr="003074E2">
        <w:rPr>
          <w:rFonts w:cs="Calibri"/>
        </w:rPr>
        <w:t xml:space="preserve">, it still has a genetic basis, </w:t>
      </w:r>
      <w:r w:rsidR="00CB09CD">
        <w:rPr>
          <w:rFonts w:cs="Calibri"/>
        </w:rPr>
        <w:t>albeit</w:t>
      </w:r>
      <w:r w:rsidRPr="003074E2">
        <w:rPr>
          <w:rFonts w:cs="Calibri"/>
        </w:rPr>
        <w:t xml:space="preserve"> one </w:t>
      </w:r>
      <w:r w:rsidR="007C3D4A">
        <w:rPr>
          <w:rFonts w:cs="Calibri"/>
        </w:rPr>
        <w:t>that</w:t>
      </w:r>
      <w:r w:rsidRPr="003074E2">
        <w:rPr>
          <w:rFonts w:cs="Calibri"/>
        </w:rPr>
        <w:t xml:space="preserve"> is more complex in nature. A sense of the complex</w:t>
      </w:r>
      <w:r w:rsidR="007B38F3">
        <w:rPr>
          <w:rFonts w:cs="Calibri"/>
        </w:rPr>
        <w:t xml:space="preserve">ity </w:t>
      </w:r>
      <w:r w:rsidRPr="003074E2">
        <w:rPr>
          <w:rFonts w:cs="Calibri"/>
        </w:rPr>
        <w:t xml:space="preserve">was seen in pre-molecular era family studies of </w:t>
      </w:r>
      <w:r w:rsidR="00562259">
        <w:rPr>
          <w:rFonts w:cs="Calibri"/>
        </w:rPr>
        <w:t>obligate heterozygous parents</w:t>
      </w:r>
      <w:r w:rsidRPr="003074E2">
        <w:rPr>
          <w:rFonts w:cs="Calibri"/>
        </w:rPr>
        <w:t xml:space="preserve"> of </w:t>
      </w:r>
      <w:r w:rsidR="003074E2">
        <w:rPr>
          <w:rFonts w:cs="Calibri"/>
        </w:rPr>
        <w:t>individual</w:t>
      </w:r>
      <w:r w:rsidRPr="003074E2">
        <w:rPr>
          <w:rFonts w:cs="Calibri"/>
        </w:rPr>
        <w:t>s with complete LPL deficiency or apoC-II deficiency</w:t>
      </w:r>
      <w:r w:rsidR="007308F8">
        <w:rPr>
          <w:rFonts w:cs="Calibri"/>
        </w:rPr>
        <w:t>,</w:t>
      </w:r>
      <w:r w:rsidR="00041552" w:rsidRPr="00997DBF">
        <w:rPr>
          <w:rFonts w:cs="Calibri"/>
          <w:vertAlign w:val="superscript"/>
        </w:rPr>
        <w:t>3</w:t>
      </w:r>
      <w:r w:rsidR="00094F58">
        <w:rPr>
          <w:rFonts w:cs="Calibri"/>
          <w:vertAlign w:val="superscript"/>
        </w:rPr>
        <w:t>7</w:t>
      </w:r>
      <w:r w:rsidRPr="00997DBF">
        <w:rPr>
          <w:rFonts w:cs="Calibri"/>
          <w:vertAlign w:val="superscript"/>
        </w:rPr>
        <w:t>,</w:t>
      </w:r>
      <w:r w:rsidR="00041552" w:rsidRPr="00997DBF">
        <w:rPr>
          <w:rFonts w:cs="Calibri"/>
          <w:vertAlign w:val="superscript"/>
        </w:rPr>
        <w:t>3</w:t>
      </w:r>
      <w:r w:rsidR="00094F58">
        <w:rPr>
          <w:rFonts w:cs="Calibri"/>
          <w:vertAlign w:val="superscript"/>
        </w:rPr>
        <w:t>8</w:t>
      </w:r>
      <w:r w:rsidR="009603F4" w:rsidRPr="003074E2">
        <w:rPr>
          <w:rFonts w:cs="Calibri"/>
        </w:rPr>
        <w:t xml:space="preserve"> or </w:t>
      </w:r>
      <w:r w:rsidR="00CE5694">
        <w:rPr>
          <w:rFonts w:cs="Calibri"/>
        </w:rPr>
        <w:t>among</w:t>
      </w:r>
      <w:r w:rsidR="009603F4" w:rsidRPr="003074E2">
        <w:rPr>
          <w:rFonts w:cs="Calibri"/>
        </w:rPr>
        <w:t xml:space="preserve"> </w:t>
      </w:r>
      <w:r w:rsidR="00562259">
        <w:rPr>
          <w:rFonts w:cs="Calibri"/>
        </w:rPr>
        <w:t xml:space="preserve">unrelated heterozygous </w:t>
      </w:r>
      <w:r w:rsidR="009603F4" w:rsidRPr="003074E2">
        <w:rPr>
          <w:rFonts w:cs="Calibri"/>
        </w:rPr>
        <w:t>carrier</w:t>
      </w:r>
      <w:r w:rsidR="00A52316" w:rsidRPr="003074E2">
        <w:rPr>
          <w:rFonts w:cs="Calibri"/>
        </w:rPr>
        <w:t>s</w:t>
      </w:r>
      <w:r w:rsidR="009603F4" w:rsidRPr="003074E2">
        <w:rPr>
          <w:rFonts w:cs="Calibri"/>
        </w:rPr>
        <w:t xml:space="preserve"> </w:t>
      </w:r>
      <w:r w:rsidR="007B38F3">
        <w:rPr>
          <w:rFonts w:cs="Calibri"/>
        </w:rPr>
        <w:t xml:space="preserve">of </w:t>
      </w:r>
      <w:r w:rsidR="007B38F3" w:rsidRPr="003074E2">
        <w:rPr>
          <w:rFonts w:cs="Calibri"/>
        </w:rPr>
        <w:t>disease</w:t>
      </w:r>
      <w:r w:rsidR="007B38F3">
        <w:rPr>
          <w:rFonts w:cs="Calibri"/>
        </w:rPr>
        <w:t>-</w:t>
      </w:r>
      <w:r w:rsidR="007B38F3" w:rsidRPr="003074E2">
        <w:rPr>
          <w:rFonts w:cs="Calibri"/>
        </w:rPr>
        <w:t>causing</w:t>
      </w:r>
      <w:r w:rsidR="007B38F3">
        <w:rPr>
          <w:rFonts w:cs="Calibri"/>
        </w:rPr>
        <w:t xml:space="preserve"> mutations </w:t>
      </w:r>
      <w:r w:rsidR="00CE5694">
        <w:rPr>
          <w:rFonts w:cs="Calibri"/>
        </w:rPr>
        <w:t>from</w:t>
      </w:r>
      <w:r w:rsidR="009603F4" w:rsidRPr="003074E2">
        <w:rPr>
          <w:rFonts w:cs="Calibri"/>
        </w:rPr>
        <w:t xml:space="preserve"> the general population</w:t>
      </w:r>
      <w:r w:rsidR="007308F8">
        <w:rPr>
          <w:rFonts w:cs="Calibri"/>
        </w:rPr>
        <w:t>.</w:t>
      </w:r>
      <w:r w:rsidR="00041552" w:rsidRPr="00997DBF">
        <w:rPr>
          <w:rFonts w:cs="Calibri"/>
          <w:vertAlign w:val="superscript"/>
        </w:rPr>
        <w:t>3</w:t>
      </w:r>
      <w:r w:rsidR="00094F58">
        <w:rPr>
          <w:rFonts w:cs="Calibri"/>
          <w:vertAlign w:val="superscript"/>
        </w:rPr>
        <w:t>9</w:t>
      </w:r>
      <w:r w:rsidRPr="003074E2">
        <w:rPr>
          <w:rFonts w:cs="Calibri"/>
        </w:rPr>
        <w:t xml:space="preserve"> </w:t>
      </w:r>
      <w:r w:rsidR="00816675">
        <w:rPr>
          <w:rFonts w:cs="Calibri"/>
        </w:rPr>
        <w:t>These</w:t>
      </w:r>
      <w:r w:rsidR="00562259">
        <w:rPr>
          <w:rFonts w:cs="Calibri"/>
        </w:rPr>
        <w:t xml:space="preserve"> </w:t>
      </w:r>
      <w:r w:rsidRPr="003074E2">
        <w:rPr>
          <w:rFonts w:cs="Calibri"/>
        </w:rPr>
        <w:t xml:space="preserve">studies showed that </w:t>
      </w:r>
      <w:r w:rsidR="00562259">
        <w:rPr>
          <w:rFonts w:cs="Calibri"/>
        </w:rPr>
        <w:t xml:space="preserve">heterozygous carriers of </w:t>
      </w:r>
      <w:r w:rsidRPr="003074E2">
        <w:rPr>
          <w:rFonts w:cs="Calibri"/>
        </w:rPr>
        <w:t>disease</w:t>
      </w:r>
      <w:r w:rsidR="00CB09CD">
        <w:rPr>
          <w:rFonts w:cs="Calibri"/>
        </w:rPr>
        <w:t>-</w:t>
      </w:r>
      <w:r w:rsidRPr="003074E2">
        <w:rPr>
          <w:rFonts w:cs="Calibri"/>
        </w:rPr>
        <w:t>causing</w:t>
      </w:r>
      <w:r w:rsidR="00CB09CD">
        <w:rPr>
          <w:rFonts w:cs="Calibri"/>
        </w:rPr>
        <w:t xml:space="preserve"> </w:t>
      </w:r>
      <w:r w:rsidRPr="003074E2">
        <w:rPr>
          <w:rFonts w:cs="Calibri"/>
        </w:rPr>
        <w:t xml:space="preserve">mutations displayed a very wide </w:t>
      </w:r>
      <w:r w:rsidR="003920FB">
        <w:rPr>
          <w:rFonts w:cs="Calibri"/>
        </w:rPr>
        <w:t>spectrum</w:t>
      </w:r>
      <w:r w:rsidRPr="003074E2">
        <w:rPr>
          <w:rFonts w:cs="Calibri"/>
        </w:rPr>
        <w:t xml:space="preserve"> of TG phenotypes, ranging from normotriglycerid</w:t>
      </w:r>
      <w:r w:rsidR="007B1479">
        <w:rPr>
          <w:rFonts w:cs="Calibri"/>
        </w:rPr>
        <w:t>a</w:t>
      </w:r>
      <w:r w:rsidRPr="003074E2">
        <w:rPr>
          <w:rFonts w:cs="Calibri"/>
        </w:rPr>
        <w:t>emia to severe HTG</w:t>
      </w:r>
      <w:r w:rsidR="007308F8">
        <w:rPr>
          <w:rFonts w:cs="Calibri"/>
        </w:rPr>
        <w:t>,</w:t>
      </w:r>
      <w:r w:rsidR="00041552" w:rsidRPr="00997DBF">
        <w:rPr>
          <w:rFonts w:cs="Calibri"/>
          <w:vertAlign w:val="superscript"/>
        </w:rPr>
        <w:t>3</w:t>
      </w:r>
      <w:r w:rsidR="00094F58">
        <w:rPr>
          <w:rFonts w:cs="Calibri"/>
          <w:vertAlign w:val="superscript"/>
        </w:rPr>
        <w:t>7</w:t>
      </w:r>
      <w:r w:rsidR="005A5F5E">
        <w:rPr>
          <w:rFonts w:cs="Calibri"/>
          <w:vertAlign w:val="superscript"/>
        </w:rPr>
        <w:t>–</w:t>
      </w:r>
      <w:r w:rsidR="00041552" w:rsidRPr="00997DBF">
        <w:rPr>
          <w:rFonts w:cs="Calibri"/>
          <w:vertAlign w:val="superscript"/>
        </w:rPr>
        <w:t>3</w:t>
      </w:r>
      <w:r w:rsidR="00094F58">
        <w:rPr>
          <w:rFonts w:cs="Calibri"/>
          <w:vertAlign w:val="superscript"/>
        </w:rPr>
        <w:t>9</w:t>
      </w:r>
      <w:r w:rsidR="0073425E">
        <w:rPr>
          <w:rFonts w:cs="Calibri"/>
        </w:rPr>
        <w:t xml:space="preserve"> probably due to chance co-inheritance of different numbers of common TG-raising </w:t>
      </w:r>
      <w:r w:rsidR="0073425E">
        <w:rPr>
          <w:rFonts w:cs="Calibri"/>
        </w:rPr>
        <w:lastRenderedPageBreak/>
        <w:t>variants</w:t>
      </w:r>
      <w:r w:rsidRPr="003074E2">
        <w:rPr>
          <w:rFonts w:cs="Calibri"/>
        </w:rPr>
        <w:t xml:space="preserve">. </w:t>
      </w:r>
      <w:r w:rsidR="00730572">
        <w:rPr>
          <w:rFonts w:cs="Calibri"/>
        </w:rPr>
        <w:t xml:space="preserve">Similarly, there is a lack of clear penetrance at the biochemical level for heterozygous </w:t>
      </w:r>
      <w:r w:rsidR="00730572" w:rsidRPr="00730572">
        <w:rPr>
          <w:rFonts w:cs="Calibri"/>
          <w:i/>
        </w:rPr>
        <w:t>APOA5</w:t>
      </w:r>
      <w:r w:rsidR="00730572">
        <w:rPr>
          <w:rFonts w:cs="Calibri"/>
        </w:rPr>
        <w:t xml:space="preserve"> variants</w:t>
      </w:r>
      <w:r w:rsidR="007308F8">
        <w:rPr>
          <w:rFonts w:cs="Calibri"/>
        </w:rPr>
        <w:t>.</w:t>
      </w:r>
      <w:r w:rsidR="00094F58">
        <w:rPr>
          <w:rFonts w:cs="Calibri"/>
          <w:vertAlign w:val="superscript"/>
        </w:rPr>
        <w:t>40</w:t>
      </w:r>
      <w:r w:rsidR="00816675">
        <w:rPr>
          <w:rFonts w:cs="Calibri"/>
        </w:rPr>
        <w:t xml:space="preserve"> </w:t>
      </w:r>
      <w:r w:rsidRPr="00730572">
        <w:rPr>
          <w:rFonts w:cs="Calibri"/>
        </w:rPr>
        <w:t>On</w:t>
      </w:r>
      <w:r w:rsidRPr="003074E2">
        <w:rPr>
          <w:rFonts w:cs="Calibri"/>
        </w:rPr>
        <w:t xml:space="preserve"> average, the TG levels among </w:t>
      </w:r>
      <w:r w:rsidR="00766456">
        <w:rPr>
          <w:rFonts w:cs="Calibri"/>
        </w:rPr>
        <w:t xml:space="preserve">carriers of the various </w:t>
      </w:r>
      <w:r w:rsidRPr="003074E2">
        <w:rPr>
          <w:rFonts w:cs="Calibri"/>
        </w:rPr>
        <w:t>heterozygous mutation</w:t>
      </w:r>
      <w:r w:rsidR="00766456">
        <w:rPr>
          <w:rFonts w:cs="Calibri"/>
        </w:rPr>
        <w:t>s</w:t>
      </w:r>
      <w:r w:rsidRPr="003074E2">
        <w:rPr>
          <w:rFonts w:cs="Calibri"/>
        </w:rPr>
        <w:t xml:space="preserve"> </w:t>
      </w:r>
      <w:r w:rsidR="00173214">
        <w:rPr>
          <w:rFonts w:cs="Calibri"/>
        </w:rPr>
        <w:t>a</w:t>
      </w:r>
      <w:r w:rsidRPr="003074E2">
        <w:rPr>
          <w:rFonts w:cs="Calibri"/>
        </w:rPr>
        <w:t xml:space="preserve">re higher than in normal </w:t>
      </w:r>
      <w:r w:rsidR="00562259">
        <w:rPr>
          <w:rFonts w:cs="Calibri"/>
        </w:rPr>
        <w:t xml:space="preserve">family- or population-based </w:t>
      </w:r>
      <w:r w:rsidRPr="003074E2">
        <w:rPr>
          <w:rFonts w:cs="Calibri"/>
        </w:rPr>
        <w:t xml:space="preserve">controls, but many </w:t>
      </w:r>
      <w:r w:rsidR="00562259">
        <w:rPr>
          <w:rFonts w:cs="Calibri"/>
        </w:rPr>
        <w:t xml:space="preserve">mutation </w:t>
      </w:r>
      <w:r w:rsidRPr="003074E2">
        <w:rPr>
          <w:rFonts w:cs="Calibri"/>
        </w:rPr>
        <w:t>carriers ha</w:t>
      </w:r>
      <w:r w:rsidR="00173214">
        <w:rPr>
          <w:rFonts w:cs="Calibri"/>
        </w:rPr>
        <w:t>ve</w:t>
      </w:r>
      <w:r w:rsidRPr="003074E2">
        <w:rPr>
          <w:rFonts w:cs="Calibri"/>
        </w:rPr>
        <w:t xml:space="preserve"> normal </w:t>
      </w:r>
      <w:r w:rsidR="00562259">
        <w:rPr>
          <w:rFonts w:cs="Calibri"/>
        </w:rPr>
        <w:t xml:space="preserve">TG </w:t>
      </w:r>
      <w:r w:rsidRPr="003074E2">
        <w:rPr>
          <w:rFonts w:cs="Calibri"/>
        </w:rPr>
        <w:t xml:space="preserve">levels.   </w:t>
      </w:r>
    </w:p>
    <w:p w:rsidR="00896E35" w:rsidRDefault="00896E35" w:rsidP="00EB4DDC">
      <w:pPr>
        <w:spacing w:after="0" w:line="240" w:lineRule="auto"/>
        <w:rPr>
          <w:rFonts w:cs="Calibri"/>
        </w:rPr>
      </w:pPr>
    </w:p>
    <w:p w:rsidR="002D1A79" w:rsidRDefault="002D1A79" w:rsidP="00A70A16">
      <w:pPr>
        <w:spacing w:after="0"/>
        <w:rPr>
          <w:rFonts w:cs="Calibri"/>
        </w:rPr>
      </w:pPr>
      <w:r w:rsidRPr="003074E2">
        <w:rPr>
          <w:rFonts w:cs="Calibri"/>
        </w:rPr>
        <w:t xml:space="preserve">DNA re-sequencing has shown </w:t>
      </w:r>
      <w:r w:rsidR="003074E2">
        <w:rPr>
          <w:rFonts w:cs="Calibri"/>
        </w:rPr>
        <w:t>individual</w:t>
      </w:r>
      <w:r w:rsidRPr="003074E2">
        <w:rPr>
          <w:rFonts w:cs="Calibri"/>
        </w:rPr>
        <w:t>s</w:t>
      </w:r>
      <w:r w:rsidR="00CE5694">
        <w:rPr>
          <w:rFonts w:cs="Calibri"/>
        </w:rPr>
        <w:t xml:space="preserve"> w</w:t>
      </w:r>
      <w:r w:rsidR="006F735D">
        <w:rPr>
          <w:rFonts w:cs="Calibri"/>
        </w:rPr>
        <w:t>ith TG &gt;3</w:t>
      </w:r>
      <w:r w:rsidR="00F603DE">
        <w:rPr>
          <w:rFonts w:cs="Calibri"/>
        </w:rPr>
        <w:t>·</w:t>
      </w:r>
      <w:r w:rsidR="006F735D">
        <w:rPr>
          <w:rFonts w:cs="Calibri"/>
        </w:rPr>
        <w:t>3 mmol/L</w:t>
      </w:r>
      <w:r w:rsidR="00CE5694">
        <w:rPr>
          <w:rFonts w:cs="Calibri"/>
        </w:rPr>
        <w:t xml:space="preserve"> (</w:t>
      </w:r>
      <w:r w:rsidR="007B38F3">
        <w:rPr>
          <w:rFonts w:cs="Calibri"/>
        </w:rPr>
        <w:t>&gt;95</w:t>
      </w:r>
      <w:r w:rsidR="006F735D">
        <w:rPr>
          <w:rFonts w:cs="Calibri"/>
        </w:rPr>
        <w:t xml:space="preserve">th percentile in North America) </w:t>
      </w:r>
      <w:r w:rsidRPr="003074E2">
        <w:rPr>
          <w:rFonts w:cs="Calibri"/>
        </w:rPr>
        <w:t>as a group have a significantly increased frequency – about 2</w:t>
      </w:r>
      <w:r w:rsidR="00F603DE">
        <w:rPr>
          <w:rFonts w:cs="Calibri"/>
        </w:rPr>
        <w:t>·</w:t>
      </w:r>
      <w:r w:rsidRPr="003074E2">
        <w:rPr>
          <w:rFonts w:cs="Calibri"/>
        </w:rPr>
        <w:t xml:space="preserve">5-fold - of heterozygous rare loss-of-function mutations in several genes </w:t>
      </w:r>
      <w:r w:rsidR="007B38F3">
        <w:rPr>
          <w:rFonts w:cs="Calibri"/>
        </w:rPr>
        <w:t>governing</w:t>
      </w:r>
      <w:r w:rsidRPr="003074E2">
        <w:rPr>
          <w:rFonts w:cs="Calibri"/>
        </w:rPr>
        <w:t xml:space="preserve"> TG metabolism</w:t>
      </w:r>
      <w:r w:rsidR="00173214">
        <w:rPr>
          <w:rFonts w:cs="Calibri"/>
        </w:rPr>
        <w:t xml:space="preserve"> </w:t>
      </w:r>
      <w:r w:rsidRPr="003074E2">
        <w:rPr>
          <w:rFonts w:cs="Calibri"/>
        </w:rPr>
        <w:t>compared to normotriglycerid</w:t>
      </w:r>
      <w:r w:rsidR="007B1479">
        <w:rPr>
          <w:rFonts w:cs="Calibri"/>
        </w:rPr>
        <w:t>a</w:t>
      </w:r>
      <w:r w:rsidRPr="003074E2">
        <w:rPr>
          <w:rFonts w:cs="Calibri"/>
        </w:rPr>
        <w:t>emic controls</w:t>
      </w:r>
      <w:r w:rsidR="007308F8">
        <w:rPr>
          <w:rFonts w:cs="Calibri"/>
        </w:rPr>
        <w:t>.</w:t>
      </w:r>
      <w:r w:rsidR="00094F58">
        <w:rPr>
          <w:rFonts w:cs="Calibri"/>
          <w:vertAlign w:val="superscript"/>
        </w:rPr>
        <w:t>41</w:t>
      </w:r>
      <w:r w:rsidR="00173214" w:rsidRPr="00997DBF">
        <w:rPr>
          <w:rFonts w:cs="Calibri"/>
          <w:vertAlign w:val="superscript"/>
        </w:rPr>
        <w:t>,</w:t>
      </w:r>
      <w:r w:rsidR="00094F58">
        <w:rPr>
          <w:rFonts w:cs="Calibri"/>
          <w:vertAlign w:val="superscript"/>
        </w:rPr>
        <w:t>42</w:t>
      </w:r>
      <w:r w:rsidRPr="003074E2">
        <w:rPr>
          <w:rFonts w:cs="Calibri"/>
        </w:rPr>
        <w:t xml:space="preserve"> </w:t>
      </w:r>
      <w:r w:rsidR="00CB09CD">
        <w:rPr>
          <w:rFonts w:cs="Calibri"/>
        </w:rPr>
        <w:t>Most</w:t>
      </w:r>
      <w:r w:rsidRPr="003074E2">
        <w:rPr>
          <w:rFonts w:cs="Calibri"/>
        </w:rPr>
        <w:t xml:space="preserve"> of these variants have confirmed loss-of-function </w:t>
      </w:r>
      <w:r w:rsidRPr="003074E2">
        <w:rPr>
          <w:rFonts w:cs="Calibri"/>
          <w:i/>
        </w:rPr>
        <w:t>in vitro</w:t>
      </w:r>
      <w:r w:rsidRPr="003074E2">
        <w:rPr>
          <w:rFonts w:cs="Calibri"/>
        </w:rPr>
        <w:t xml:space="preserve"> or predicted deleterious effects </w:t>
      </w:r>
      <w:r w:rsidRPr="003074E2">
        <w:rPr>
          <w:rFonts w:cs="Calibri"/>
          <w:i/>
        </w:rPr>
        <w:t>in silico</w:t>
      </w:r>
      <w:r w:rsidR="007308F8">
        <w:rPr>
          <w:rFonts w:cs="Calibri"/>
          <w:i/>
        </w:rPr>
        <w:t>.</w:t>
      </w:r>
      <w:r w:rsidR="00094F58">
        <w:rPr>
          <w:rFonts w:cs="Calibri"/>
          <w:vertAlign w:val="superscript"/>
        </w:rPr>
        <w:t>41</w:t>
      </w:r>
      <w:r w:rsidR="00BE4A59" w:rsidRPr="00997DBF">
        <w:rPr>
          <w:rFonts w:cs="Calibri"/>
          <w:vertAlign w:val="superscript"/>
        </w:rPr>
        <w:t>,</w:t>
      </w:r>
      <w:r w:rsidR="00094F58">
        <w:rPr>
          <w:rFonts w:cs="Calibri"/>
          <w:vertAlign w:val="superscript"/>
        </w:rPr>
        <w:t>42</w:t>
      </w:r>
      <w:r w:rsidRPr="003074E2">
        <w:rPr>
          <w:rFonts w:cs="Calibri"/>
        </w:rPr>
        <w:t xml:space="preserve"> While these rare mutations are strongly associated with HTG in </w:t>
      </w:r>
      <w:r w:rsidR="003074E2">
        <w:rPr>
          <w:rFonts w:cs="Calibri"/>
        </w:rPr>
        <w:t xml:space="preserve">patient </w:t>
      </w:r>
      <w:r w:rsidRPr="003074E2">
        <w:rPr>
          <w:rFonts w:cs="Calibri"/>
        </w:rPr>
        <w:t xml:space="preserve">groups, they are not necessarily associated with HTG in individual patients. Even within families, carriers of the same mutation show a wide range of TG levels from normal to severe HTG, with inconsistent vertical transmission </w:t>
      </w:r>
      <w:r w:rsidR="006A3E25">
        <w:rPr>
          <w:rFonts w:cs="Calibri"/>
        </w:rPr>
        <w:t>of TG levels</w:t>
      </w:r>
      <w:r w:rsidRPr="003074E2">
        <w:rPr>
          <w:rFonts w:cs="Calibri"/>
        </w:rPr>
        <w:t xml:space="preserve"> in mutation carriers across generations</w:t>
      </w:r>
      <w:r w:rsidR="007308F8">
        <w:rPr>
          <w:rFonts w:cs="Calibri"/>
        </w:rPr>
        <w:t>.</w:t>
      </w:r>
      <w:r w:rsidR="00094F58">
        <w:rPr>
          <w:rFonts w:cs="Calibri"/>
          <w:vertAlign w:val="superscript"/>
        </w:rPr>
        <w:t>43</w:t>
      </w:r>
      <w:r w:rsidRPr="003074E2">
        <w:rPr>
          <w:rFonts w:cs="Calibri"/>
        </w:rPr>
        <w:t xml:space="preserve"> Such observations emphasi</w:t>
      </w:r>
      <w:r w:rsidR="007B1479">
        <w:rPr>
          <w:rFonts w:cs="Calibri"/>
        </w:rPr>
        <w:t>s</w:t>
      </w:r>
      <w:r w:rsidRPr="003074E2">
        <w:rPr>
          <w:rFonts w:cs="Calibri"/>
        </w:rPr>
        <w:t xml:space="preserve">e that HTG is not a dominantly inherited trait in the vast majority of families with an HTG proband.  </w:t>
      </w:r>
    </w:p>
    <w:p w:rsidR="000C1FCC" w:rsidRPr="003074E2" w:rsidRDefault="000C1FCC" w:rsidP="00BF57A9">
      <w:pPr>
        <w:spacing w:after="0" w:line="240" w:lineRule="auto"/>
        <w:rPr>
          <w:rFonts w:cs="Calibri"/>
        </w:rPr>
      </w:pPr>
    </w:p>
    <w:p w:rsidR="002D1A79" w:rsidRPr="00BF57A9" w:rsidRDefault="002D1A79" w:rsidP="00EB4DDC">
      <w:pPr>
        <w:spacing w:after="0" w:line="240" w:lineRule="auto"/>
        <w:rPr>
          <w:rFonts w:cs="Calibri"/>
          <w:i/>
          <w:color w:val="C00000"/>
        </w:rPr>
      </w:pPr>
      <w:r w:rsidRPr="00BF57A9">
        <w:rPr>
          <w:rFonts w:cs="Calibri"/>
          <w:i/>
          <w:color w:val="C00000"/>
        </w:rPr>
        <w:t>Multigenic HTG: role of common variants</w:t>
      </w:r>
    </w:p>
    <w:p w:rsidR="00896E35" w:rsidRDefault="002D1A79" w:rsidP="00A70A16">
      <w:pPr>
        <w:spacing w:after="0"/>
        <w:rPr>
          <w:rFonts w:cs="Calibri"/>
          <w:vertAlign w:val="superscript"/>
        </w:rPr>
      </w:pPr>
      <w:r w:rsidRPr="003074E2">
        <w:rPr>
          <w:rFonts w:cs="Calibri"/>
        </w:rPr>
        <w:t xml:space="preserve">Recent genome-wide association studies (GWAS) of HTG have demonstrated that common variants in several genes, including </w:t>
      </w:r>
      <w:r w:rsidRPr="003074E2">
        <w:rPr>
          <w:rFonts w:cs="Calibri"/>
          <w:i/>
        </w:rPr>
        <w:t>APOA5</w:t>
      </w:r>
      <w:r w:rsidRPr="003074E2">
        <w:rPr>
          <w:rFonts w:cs="Calibri"/>
        </w:rPr>
        <w:t xml:space="preserve">, </w:t>
      </w:r>
      <w:r w:rsidRPr="003074E2">
        <w:rPr>
          <w:rFonts w:cs="Calibri"/>
          <w:i/>
        </w:rPr>
        <w:t>GCKR</w:t>
      </w:r>
      <w:r w:rsidRPr="003074E2">
        <w:rPr>
          <w:rFonts w:cs="Calibri"/>
        </w:rPr>
        <w:t xml:space="preserve">, </w:t>
      </w:r>
      <w:r w:rsidRPr="003074E2">
        <w:rPr>
          <w:rFonts w:cs="Calibri"/>
          <w:i/>
        </w:rPr>
        <w:t>LPL</w:t>
      </w:r>
      <w:r w:rsidR="00F603DE">
        <w:rPr>
          <w:rFonts w:cs="Calibri"/>
          <w:i/>
        </w:rPr>
        <w:t>,</w:t>
      </w:r>
      <w:r w:rsidRPr="003074E2">
        <w:rPr>
          <w:rFonts w:cs="Calibri"/>
        </w:rPr>
        <w:t xml:space="preserve"> and </w:t>
      </w:r>
      <w:r w:rsidRPr="003074E2">
        <w:rPr>
          <w:rFonts w:cs="Calibri"/>
          <w:i/>
        </w:rPr>
        <w:t>APOB</w:t>
      </w:r>
      <w:r w:rsidRPr="003074E2">
        <w:rPr>
          <w:rFonts w:cs="Calibri"/>
        </w:rPr>
        <w:t>, are strongly associated with susceptibility to HTG</w:t>
      </w:r>
      <w:r w:rsidR="007308F8">
        <w:rPr>
          <w:rFonts w:cs="Calibri"/>
        </w:rPr>
        <w:t>.</w:t>
      </w:r>
      <w:r w:rsidR="00041552" w:rsidRPr="00997DBF">
        <w:rPr>
          <w:rFonts w:cs="Calibri"/>
          <w:vertAlign w:val="superscript"/>
        </w:rPr>
        <w:t>4</w:t>
      </w:r>
      <w:r w:rsidR="00094F58">
        <w:rPr>
          <w:rFonts w:cs="Calibri"/>
          <w:vertAlign w:val="superscript"/>
        </w:rPr>
        <w:t>4</w:t>
      </w:r>
      <w:r w:rsidR="00816675">
        <w:rPr>
          <w:rFonts w:cs="Calibri"/>
        </w:rPr>
        <w:t xml:space="preserve"> </w:t>
      </w:r>
      <w:r w:rsidRPr="003074E2">
        <w:rPr>
          <w:rFonts w:cs="Calibri"/>
        </w:rPr>
        <w:t>In fact, common variation in 32 TG-associated genes identified by the Global Lipids Genetics Consortium (GLGC) is robustly associated with HTG</w:t>
      </w:r>
      <w:r w:rsidR="00B36720">
        <w:rPr>
          <w:rFonts w:cs="Calibri"/>
        </w:rPr>
        <w:t>;</w:t>
      </w:r>
      <w:r w:rsidR="00BE4A59" w:rsidRPr="00997DBF">
        <w:rPr>
          <w:rFonts w:cs="Calibri"/>
          <w:vertAlign w:val="superscript"/>
        </w:rPr>
        <w:t>3</w:t>
      </w:r>
      <w:r w:rsidR="00094F58">
        <w:rPr>
          <w:rFonts w:cs="Calibri"/>
          <w:vertAlign w:val="superscript"/>
        </w:rPr>
        <w:t>1-</w:t>
      </w:r>
      <w:r w:rsidR="00BE4A59" w:rsidRPr="00997DBF">
        <w:rPr>
          <w:rFonts w:cs="Calibri"/>
          <w:vertAlign w:val="superscript"/>
        </w:rPr>
        <w:t>33</w:t>
      </w:r>
      <w:r w:rsidRPr="003074E2">
        <w:rPr>
          <w:rFonts w:cs="Calibri"/>
        </w:rPr>
        <w:t xml:space="preserve"> the same GLGC loci </w:t>
      </w:r>
      <w:r w:rsidR="006A3E25">
        <w:rPr>
          <w:rFonts w:cs="Calibri"/>
        </w:rPr>
        <w:t>a</w:t>
      </w:r>
      <w:r w:rsidRPr="003074E2">
        <w:rPr>
          <w:rFonts w:cs="Calibri"/>
        </w:rPr>
        <w:t xml:space="preserve">re also associated with modest variation in plasma TG levels </w:t>
      </w:r>
      <w:r w:rsidRPr="003074E2">
        <w:rPr>
          <w:rFonts w:cs="Calibri"/>
        </w:rPr>
        <w:lastRenderedPageBreak/>
        <w:t>within the normal range among healthy subjects</w:t>
      </w:r>
      <w:r w:rsidR="00915B97">
        <w:rPr>
          <w:rFonts w:cs="Calibri"/>
        </w:rPr>
        <w:t xml:space="preserve"> (</w:t>
      </w:r>
      <w:r w:rsidR="00F771D1" w:rsidRPr="00410AC4">
        <w:rPr>
          <w:rFonts w:cs="Calibri"/>
          <w:b/>
        </w:rPr>
        <w:t>Supplemental Table 1</w:t>
      </w:r>
      <w:r w:rsidR="00915B97">
        <w:rPr>
          <w:rFonts w:cs="Calibri"/>
        </w:rPr>
        <w:t>)</w:t>
      </w:r>
      <w:r w:rsidRPr="003074E2">
        <w:rPr>
          <w:rFonts w:cs="Calibri"/>
        </w:rPr>
        <w:t xml:space="preserve">. </w:t>
      </w:r>
      <w:r w:rsidR="00562259">
        <w:rPr>
          <w:rFonts w:cs="Calibri"/>
        </w:rPr>
        <w:t>A g</w:t>
      </w:r>
      <w:r w:rsidRPr="003074E2">
        <w:rPr>
          <w:rFonts w:cs="Calibri"/>
        </w:rPr>
        <w:t>enetic risk score</w:t>
      </w:r>
      <w:r w:rsidR="00562259">
        <w:rPr>
          <w:rFonts w:cs="Calibri"/>
        </w:rPr>
        <w:t xml:space="preserve"> </w:t>
      </w:r>
      <w:r w:rsidRPr="003074E2">
        <w:rPr>
          <w:rFonts w:cs="Calibri"/>
        </w:rPr>
        <w:t xml:space="preserve">constructed by tallying carrier status for TG-raising alleles at the 32 GLGC-identified TG-associated loci </w:t>
      </w:r>
      <w:r w:rsidR="00562259">
        <w:rPr>
          <w:rFonts w:cs="Calibri"/>
        </w:rPr>
        <w:t>was</w:t>
      </w:r>
      <w:r w:rsidRPr="003074E2">
        <w:rPr>
          <w:rFonts w:cs="Calibri"/>
        </w:rPr>
        <w:t xml:space="preserve"> higher </w:t>
      </w:r>
      <w:r w:rsidR="00562259">
        <w:rPr>
          <w:rFonts w:cs="Calibri"/>
        </w:rPr>
        <w:t>on ave</w:t>
      </w:r>
      <w:r w:rsidR="000D42A8">
        <w:rPr>
          <w:rFonts w:cs="Calibri"/>
        </w:rPr>
        <w:t>r</w:t>
      </w:r>
      <w:r w:rsidR="00562259">
        <w:rPr>
          <w:rFonts w:cs="Calibri"/>
        </w:rPr>
        <w:t xml:space="preserve">age </w:t>
      </w:r>
      <w:r w:rsidRPr="003074E2">
        <w:rPr>
          <w:rFonts w:cs="Calibri"/>
        </w:rPr>
        <w:t>in HTG patients than in healthy controls (</w:t>
      </w:r>
      <w:r w:rsidRPr="00410AC4">
        <w:rPr>
          <w:rFonts w:cs="Calibri"/>
          <w:b/>
        </w:rPr>
        <w:t xml:space="preserve">Fig </w:t>
      </w:r>
      <w:r w:rsidR="00997914" w:rsidRPr="00410AC4">
        <w:rPr>
          <w:rFonts w:cs="Calibri"/>
          <w:b/>
        </w:rPr>
        <w:t>2</w:t>
      </w:r>
      <w:r w:rsidRPr="003074E2">
        <w:rPr>
          <w:rFonts w:cs="Calibri"/>
        </w:rPr>
        <w:t>)</w:t>
      </w:r>
      <w:r w:rsidR="00B36720">
        <w:rPr>
          <w:rFonts w:cs="Calibri"/>
        </w:rPr>
        <w:t>.</w:t>
      </w:r>
      <w:r w:rsidR="00094F58">
        <w:rPr>
          <w:rFonts w:cs="Calibri"/>
          <w:vertAlign w:val="superscript"/>
        </w:rPr>
        <w:t>30,44</w:t>
      </w:r>
      <w:r w:rsidRPr="003074E2">
        <w:rPr>
          <w:rFonts w:cs="Calibri"/>
        </w:rPr>
        <w:t xml:space="preserve"> Thus, </w:t>
      </w:r>
      <w:r w:rsidR="0073425E">
        <w:rPr>
          <w:rFonts w:cs="Calibri"/>
        </w:rPr>
        <w:t>as with mutation-negative FH patients and LDL-C-raising variants</w:t>
      </w:r>
      <w:r w:rsidR="00B36720">
        <w:rPr>
          <w:rFonts w:cs="Calibri"/>
        </w:rPr>
        <w:t>,</w:t>
      </w:r>
      <w:r w:rsidR="00094F58">
        <w:rPr>
          <w:rFonts w:cs="Calibri"/>
          <w:vertAlign w:val="superscript"/>
        </w:rPr>
        <w:t>34</w:t>
      </w:r>
      <w:r w:rsidR="0073425E">
        <w:rPr>
          <w:rFonts w:cs="Calibri"/>
        </w:rPr>
        <w:t xml:space="preserve"> </w:t>
      </w:r>
      <w:r w:rsidRPr="003074E2">
        <w:rPr>
          <w:rFonts w:cs="Calibri"/>
        </w:rPr>
        <w:t xml:space="preserve">an increased burden of </w:t>
      </w:r>
      <w:r w:rsidR="000A02F9">
        <w:rPr>
          <w:rFonts w:cs="Calibri"/>
        </w:rPr>
        <w:t>TG-raising</w:t>
      </w:r>
      <w:r w:rsidRPr="003074E2">
        <w:rPr>
          <w:rFonts w:cs="Calibri"/>
        </w:rPr>
        <w:t xml:space="preserve"> alleles contributes to HTG susceptibility</w:t>
      </w:r>
      <w:r w:rsidR="00B36720">
        <w:rPr>
          <w:rFonts w:cs="Calibri"/>
        </w:rPr>
        <w:t>.</w:t>
      </w:r>
      <w:r w:rsidR="00094F58">
        <w:rPr>
          <w:rFonts w:cs="Calibri"/>
          <w:vertAlign w:val="superscript"/>
        </w:rPr>
        <w:t>41,42</w:t>
      </w:r>
    </w:p>
    <w:p w:rsidR="00BF57A9" w:rsidRDefault="00BF57A9" w:rsidP="00EB4DDC">
      <w:pPr>
        <w:spacing w:after="0" w:line="240" w:lineRule="auto"/>
        <w:rPr>
          <w:rFonts w:cs="Calibri"/>
          <w:b/>
          <w:i/>
          <w:color w:val="C00000"/>
        </w:rPr>
      </w:pPr>
    </w:p>
    <w:p w:rsidR="00410AC4" w:rsidRPr="00BF57A9" w:rsidRDefault="00410AC4" w:rsidP="00EB4DDC">
      <w:pPr>
        <w:spacing w:after="0" w:line="240" w:lineRule="auto"/>
        <w:rPr>
          <w:rFonts w:cs="Calibri"/>
          <w:color w:val="C00000"/>
          <w:vertAlign w:val="superscript"/>
        </w:rPr>
      </w:pPr>
      <w:r w:rsidRPr="00BF57A9">
        <w:rPr>
          <w:rFonts w:cs="Calibri"/>
          <w:i/>
          <w:color w:val="C00000"/>
        </w:rPr>
        <w:t>Multigenic HTG: common plus rare variants</w:t>
      </w:r>
    </w:p>
    <w:p w:rsidR="00410AC4" w:rsidRDefault="00410AC4" w:rsidP="00410AC4">
      <w:pPr>
        <w:spacing w:after="0"/>
        <w:rPr>
          <w:rFonts w:cs="Calibri"/>
          <w:vertAlign w:val="superscript"/>
        </w:rPr>
      </w:pPr>
      <w:r w:rsidRPr="003074E2">
        <w:rPr>
          <w:rFonts w:cs="Calibri"/>
        </w:rPr>
        <w:t>HTG susceptibility is thus determined by combinations of common small</w:t>
      </w:r>
      <w:r>
        <w:rPr>
          <w:rFonts w:cs="Calibri"/>
        </w:rPr>
        <w:t>-effect</w:t>
      </w:r>
      <w:r w:rsidRPr="003074E2">
        <w:rPr>
          <w:rFonts w:cs="Calibri"/>
        </w:rPr>
        <w:t xml:space="preserve"> and </w:t>
      </w:r>
      <w:r>
        <w:rPr>
          <w:rFonts w:cs="Calibri"/>
        </w:rPr>
        <w:t xml:space="preserve">rare </w:t>
      </w:r>
      <w:r w:rsidRPr="003074E2">
        <w:rPr>
          <w:rFonts w:cs="Calibri"/>
        </w:rPr>
        <w:t>large</w:t>
      </w:r>
      <w:r>
        <w:rPr>
          <w:rFonts w:cs="Calibri"/>
        </w:rPr>
        <w:t>-</w:t>
      </w:r>
      <w:r w:rsidRPr="003074E2">
        <w:rPr>
          <w:rFonts w:cs="Calibri"/>
        </w:rPr>
        <w:t xml:space="preserve">effect </w:t>
      </w:r>
      <w:r>
        <w:rPr>
          <w:rFonts w:cs="Calibri"/>
        </w:rPr>
        <w:t xml:space="preserve">variants </w:t>
      </w:r>
      <w:r w:rsidRPr="003074E2">
        <w:rPr>
          <w:rFonts w:cs="Calibri"/>
        </w:rPr>
        <w:t>in genes governing production, or catabolism, or both, of TG-rich lipoproteins</w:t>
      </w:r>
      <w:r>
        <w:rPr>
          <w:rFonts w:cs="Calibri"/>
        </w:rPr>
        <w:t>.</w:t>
      </w:r>
      <w:r w:rsidRPr="00997DBF">
        <w:rPr>
          <w:rFonts w:cs="Calibri"/>
          <w:vertAlign w:val="superscript"/>
        </w:rPr>
        <w:t>2</w:t>
      </w:r>
      <w:r>
        <w:rPr>
          <w:rFonts w:cs="Calibri"/>
          <w:vertAlign w:val="superscript"/>
        </w:rPr>
        <w:t>9-32,41,42</w:t>
      </w:r>
      <w:r w:rsidRPr="003074E2">
        <w:rPr>
          <w:rFonts w:cs="Calibri"/>
        </w:rPr>
        <w:t xml:space="preserve"> Subjects with average TG</w:t>
      </w:r>
      <w:r>
        <w:rPr>
          <w:rFonts w:cs="Calibri"/>
        </w:rPr>
        <w:t xml:space="preserve"> levels are suggested to</w:t>
      </w:r>
      <w:r w:rsidRPr="003074E2">
        <w:rPr>
          <w:rFonts w:cs="Calibri"/>
        </w:rPr>
        <w:t xml:space="preserve"> have a balance of protective and deleterious alleles. </w:t>
      </w:r>
      <w:r>
        <w:rPr>
          <w:rFonts w:cs="Calibri"/>
        </w:rPr>
        <w:t>On the basis of studies of 765 individuals in whom nine HTG-associated genes were re-sequenced, c</w:t>
      </w:r>
      <w:r w:rsidRPr="003074E2">
        <w:rPr>
          <w:rFonts w:cs="Calibri"/>
        </w:rPr>
        <w:t xml:space="preserve">ommon and rare genetic variants </w:t>
      </w:r>
      <w:r>
        <w:rPr>
          <w:rFonts w:cs="Calibri"/>
        </w:rPr>
        <w:t xml:space="preserve">together </w:t>
      </w:r>
      <w:r w:rsidRPr="003074E2">
        <w:rPr>
          <w:rFonts w:cs="Calibri"/>
        </w:rPr>
        <w:t>explain</w:t>
      </w:r>
      <w:r>
        <w:rPr>
          <w:rFonts w:cs="Calibri"/>
        </w:rPr>
        <w:t>ed</w:t>
      </w:r>
      <w:r w:rsidRPr="003074E2">
        <w:rPr>
          <w:rFonts w:cs="Calibri"/>
        </w:rPr>
        <w:t xml:space="preserve"> ~25% of total variation (~50% of attributable varia</w:t>
      </w:r>
      <w:r>
        <w:rPr>
          <w:rFonts w:cs="Calibri"/>
        </w:rPr>
        <w:t>tion</w:t>
      </w:r>
      <w:r w:rsidRPr="003074E2">
        <w:rPr>
          <w:rFonts w:cs="Calibri"/>
        </w:rPr>
        <w:t>) in HTG susceptibility</w:t>
      </w:r>
      <w:r>
        <w:rPr>
          <w:rFonts w:cs="Calibri"/>
        </w:rPr>
        <w:t>.</w:t>
      </w:r>
      <w:r w:rsidRPr="00997DBF">
        <w:rPr>
          <w:rFonts w:cs="Calibri"/>
          <w:vertAlign w:val="superscript"/>
        </w:rPr>
        <w:t>37</w:t>
      </w:r>
      <w:r>
        <w:rPr>
          <w:rFonts w:cs="Calibri"/>
          <w:vertAlign w:val="superscript"/>
        </w:rPr>
        <w:t>,38</w:t>
      </w:r>
      <w:r w:rsidRPr="003074E2">
        <w:rPr>
          <w:rFonts w:cs="Calibri"/>
        </w:rPr>
        <w:t xml:space="preserve"> Because of the wide range of TG levels and severity of HTG phenotypes within families and among carriers of the same genotype, genetic testing is not recommended. </w:t>
      </w:r>
      <w:r>
        <w:rPr>
          <w:rFonts w:cs="Calibri"/>
        </w:rPr>
        <w:t xml:space="preserve">Finally, as mentioned earlier </w:t>
      </w:r>
      <w:r w:rsidRPr="003074E2">
        <w:rPr>
          <w:rFonts w:cs="Calibri"/>
        </w:rPr>
        <w:t xml:space="preserve">the classical Fredrickson phenotypes </w:t>
      </w:r>
      <w:r>
        <w:rPr>
          <w:rFonts w:cs="Calibri"/>
        </w:rPr>
        <w:t xml:space="preserve">characterised by HTG closely </w:t>
      </w:r>
      <w:r w:rsidRPr="003074E2">
        <w:rPr>
          <w:rFonts w:cs="Calibri"/>
        </w:rPr>
        <w:t>resemble each other at the genetic level</w:t>
      </w:r>
      <w:r>
        <w:rPr>
          <w:rFonts w:cs="Calibri"/>
        </w:rPr>
        <w:t>, with comparable accumulations of common and rare genetic variants, despite different biochemical phenotypes.</w:t>
      </w:r>
      <w:r w:rsidRPr="00997DBF">
        <w:rPr>
          <w:rFonts w:cs="Calibri"/>
          <w:vertAlign w:val="superscript"/>
        </w:rPr>
        <w:t>2</w:t>
      </w:r>
      <w:r>
        <w:rPr>
          <w:rFonts w:cs="Calibri"/>
          <w:vertAlign w:val="superscript"/>
        </w:rPr>
        <w:t>7</w:t>
      </w:r>
      <w:r w:rsidRPr="00997DBF">
        <w:rPr>
          <w:rFonts w:cs="Calibri"/>
          <w:vertAlign w:val="superscript"/>
        </w:rPr>
        <w:t>,2</w:t>
      </w:r>
      <w:r>
        <w:rPr>
          <w:rFonts w:cs="Calibri"/>
          <w:vertAlign w:val="superscript"/>
        </w:rPr>
        <w:t>9–32</w:t>
      </w:r>
      <w:r w:rsidRPr="00997DBF">
        <w:rPr>
          <w:rFonts w:cs="Calibri"/>
          <w:vertAlign w:val="superscript"/>
        </w:rPr>
        <w:t>,</w:t>
      </w:r>
      <w:r>
        <w:rPr>
          <w:rFonts w:cs="Calibri"/>
          <w:vertAlign w:val="superscript"/>
        </w:rPr>
        <w:t>41</w:t>
      </w:r>
      <w:r w:rsidRPr="00997DBF">
        <w:rPr>
          <w:rFonts w:cs="Calibri"/>
          <w:vertAlign w:val="superscript"/>
        </w:rPr>
        <w:t>,</w:t>
      </w:r>
      <w:r>
        <w:rPr>
          <w:rFonts w:cs="Calibri"/>
          <w:vertAlign w:val="superscript"/>
        </w:rPr>
        <w:t>42</w:t>
      </w:r>
      <w:r>
        <w:rPr>
          <w:rFonts w:cs="Calibri"/>
        </w:rPr>
        <w:t xml:space="preserve"> Among these, HLP type 3 (dysbetalipoproteinaemia) is unique in that a single gene - </w:t>
      </w:r>
      <w:r>
        <w:rPr>
          <w:rFonts w:cs="Calibri"/>
          <w:i/>
        </w:rPr>
        <w:t xml:space="preserve">APOE </w:t>
      </w:r>
      <w:r>
        <w:rPr>
          <w:rFonts w:cs="Calibri"/>
        </w:rPr>
        <w:t xml:space="preserve">- can force the expression of HTG and hypercholesterolaemia due to accumulation of remnant particles: here the cumulative effects of polygenic predisposition are compounded by either the binding defective E2 isoform of apoE, or heterozygosity for a rare dysfunctional </w:t>
      </w:r>
      <w:r w:rsidRPr="00A6789E">
        <w:rPr>
          <w:rFonts w:cs="Calibri"/>
          <w:i/>
        </w:rPr>
        <w:t>APOE</w:t>
      </w:r>
      <w:r>
        <w:rPr>
          <w:rFonts w:cs="Calibri"/>
        </w:rPr>
        <w:t xml:space="preserve"> mutation.</w:t>
      </w:r>
      <w:r>
        <w:rPr>
          <w:rFonts w:cs="Calibri"/>
          <w:vertAlign w:val="superscript"/>
        </w:rPr>
        <w:t>30</w:t>
      </w:r>
      <w:r>
        <w:rPr>
          <w:rFonts w:cs="Calibri"/>
        </w:rPr>
        <w:t xml:space="preserve">  </w:t>
      </w:r>
    </w:p>
    <w:p w:rsidR="00BF57A9" w:rsidRDefault="00BF57A9" w:rsidP="00A70A16">
      <w:pPr>
        <w:spacing w:after="0"/>
        <w:rPr>
          <w:rFonts w:cs="Calibri"/>
          <w:vertAlign w:val="superscript"/>
        </w:rPr>
        <w:sectPr w:rsidR="00BF57A9" w:rsidSect="00BF57A9">
          <w:type w:val="continuous"/>
          <w:pgSz w:w="12240" w:h="15840"/>
          <w:pgMar w:top="1440" w:right="1440" w:bottom="1440" w:left="1440" w:header="708" w:footer="708" w:gutter="0"/>
          <w:cols w:num="2" w:space="708"/>
          <w:docGrid w:linePitch="360"/>
        </w:sectPr>
      </w:pPr>
    </w:p>
    <w:p w:rsidR="00543C8F" w:rsidRDefault="00543C8F" w:rsidP="00A70A16">
      <w:pPr>
        <w:spacing w:after="0"/>
        <w:rPr>
          <w:rFonts w:cs="Calibri"/>
          <w:b/>
          <w:color w:val="C00000"/>
        </w:rPr>
      </w:pPr>
      <w:r>
        <w:rPr>
          <w:rFonts w:cs="Calibri"/>
          <w:noProof/>
          <w:vertAlign w:val="superscript"/>
          <w:lang w:val="nb-NO" w:eastAsia="nb-NO"/>
        </w:rPr>
        <w:lastRenderedPageBreak/>
        <w:drawing>
          <wp:inline distT="0" distB="0" distL="0" distR="0">
            <wp:extent cx="4572635" cy="3429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635" cy="3429635"/>
                    </a:xfrm>
                    <a:prstGeom prst="rect">
                      <a:avLst/>
                    </a:prstGeom>
                    <a:noFill/>
                  </pic:spPr>
                </pic:pic>
              </a:graphicData>
            </a:graphic>
          </wp:inline>
        </w:drawing>
      </w:r>
    </w:p>
    <w:p w:rsidR="00410AC4" w:rsidRPr="00410AC4" w:rsidRDefault="00410AC4" w:rsidP="00A70A16">
      <w:pPr>
        <w:spacing w:after="0"/>
        <w:rPr>
          <w:rFonts w:cs="Calibri"/>
          <w:b/>
          <w:color w:val="C00000"/>
        </w:rPr>
      </w:pPr>
      <w:r w:rsidRPr="00410AC4">
        <w:rPr>
          <w:rFonts w:cs="Calibri"/>
          <w:b/>
          <w:color w:val="C00000"/>
        </w:rPr>
        <w:t>Figure 2.</w:t>
      </w:r>
      <w:r w:rsidRPr="00410AC4">
        <w:rPr>
          <w:rFonts w:cs="Calibri"/>
          <w:color w:val="C00000"/>
        </w:rPr>
        <w:t xml:space="preserve"> </w:t>
      </w:r>
      <w:r w:rsidRPr="00410AC4">
        <w:rPr>
          <w:rFonts w:cs="Calibri"/>
          <w:b/>
          <w:color w:val="C00000"/>
        </w:rPr>
        <w:t>Genetic risk scores composed of triglyceride (TG)-associated risk alleles</w:t>
      </w:r>
    </w:p>
    <w:p w:rsidR="00896E35" w:rsidRPr="00410AC4" w:rsidRDefault="00410AC4" w:rsidP="00A70A16">
      <w:pPr>
        <w:spacing w:after="0"/>
        <w:rPr>
          <w:rFonts w:cs="Calibri"/>
          <w:sz w:val="20"/>
          <w:szCs w:val="20"/>
          <w:vertAlign w:val="superscript"/>
        </w:rPr>
      </w:pPr>
      <w:r w:rsidRPr="00410AC4">
        <w:rPr>
          <w:rFonts w:cs="Calibri"/>
          <w:sz w:val="20"/>
          <w:szCs w:val="20"/>
        </w:rPr>
        <w:t>Unweighted risk scores composed of risk alleles at 32 TG-associated loci were summed across individuals and compared between HTG patients and controls. The minimum unweighted risk score is 0, whereas the maximum unweighted risk score is 64, but most scores in the population range between 26 and 46. The relative frequency distribution of TG genetic risk scores is shown and is significantly increased in 504 HTG patients versus 1 213 healthy controls (P=1·6X10</w:t>
      </w:r>
      <w:r w:rsidRPr="00410AC4">
        <w:rPr>
          <w:rFonts w:cs="Calibri"/>
          <w:sz w:val="20"/>
          <w:szCs w:val="20"/>
          <w:vertAlign w:val="superscript"/>
        </w:rPr>
        <w:t>-53</w:t>
      </w:r>
      <w:r w:rsidRPr="00410AC4">
        <w:rPr>
          <w:rFonts w:cs="Calibri"/>
          <w:sz w:val="20"/>
          <w:szCs w:val="20"/>
        </w:rPr>
        <w:t>).</w:t>
      </w:r>
      <w:r w:rsidRPr="00410AC4">
        <w:rPr>
          <w:rFonts w:cs="Calibri"/>
          <w:sz w:val="20"/>
          <w:szCs w:val="20"/>
          <w:vertAlign w:val="superscript"/>
        </w:rPr>
        <w:t>30</w:t>
      </w:r>
    </w:p>
    <w:p w:rsidR="00410AC4" w:rsidRDefault="00410AC4" w:rsidP="00A70A16">
      <w:pPr>
        <w:spacing w:after="0"/>
        <w:rPr>
          <w:rFonts w:cs="Calibri"/>
        </w:rPr>
      </w:pPr>
    </w:p>
    <w:p w:rsidR="009A5415" w:rsidRPr="000C1FCC" w:rsidRDefault="00651E34" w:rsidP="003E16B6">
      <w:pPr>
        <w:spacing w:after="0"/>
        <w:rPr>
          <w:b/>
          <w:color w:val="C00000"/>
        </w:rPr>
      </w:pPr>
      <w:r>
        <w:rPr>
          <w:b/>
          <w:color w:val="C00000"/>
        </w:rPr>
        <w:t>Panel</w:t>
      </w:r>
      <w:r w:rsidR="009A5415" w:rsidRPr="000C1FCC">
        <w:rPr>
          <w:b/>
          <w:color w:val="C00000"/>
        </w:rPr>
        <w:t xml:space="preserve"> 1. Secondary causes of hypertriglyceridaemia</w:t>
      </w:r>
    </w:p>
    <w:tbl>
      <w:tblPr>
        <w:tblStyle w:val="Tabellrutenett"/>
        <w:tblW w:w="0" w:type="auto"/>
        <w:shd w:val="clear" w:color="auto" w:fill="F8ECEC"/>
        <w:tblLook w:val="04A0"/>
      </w:tblPr>
      <w:tblGrid>
        <w:gridCol w:w="9576"/>
      </w:tblGrid>
      <w:tr w:rsidR="009A5415" w:rsidRPr="009A5415" w:rsidTr="006D52E0">
        <w:tc>
          <w:tcPr>
            <w:tcW w:w="9576" w:type="dxa"/>
            <w:shd w:val="clear" w:color="auto" w:fill="F8ECEC"/>
          </w:tcPr>
          <w:p w:rsidR="009A5415" w:rsidRPr="009A5415" w:rsidRDefault="009A5415" w:rsidP="000F7FA8">
            <w:pPr>
              <w:pStyle w:val="Listeavsnitt"/>
              <w:numPr>
                <w:ilvl w:val="0"/>
                <w:numId w:val="10"/>
              </w:numPr>
              <w:rPr>
                <w:sz w:val="20"/>
                <w:szCs w:val="20"/>
              </w:rPr>
            </w:pPr>
            <w:r w:rsidRPr="009A5415">
              <w:rPr>
                <w:sz w:val="20"/>
                <w:szCs w:val="20"/>
              </w:rPr>
              <w:t>Obesity</w:t>
            </w:r>
          </w:p>
          <w:p w:rsidR="009A5415" w:rsidRPr="009A5415" w:rsidRDefault="009A5415" w:rsidP="000F7FA8">
            <w:pPr>
              <w:pStyle w:val="Listeavsnitt"/>
              <w:numPr>
                <w:ilvl w:val="0"/>
                <w:numId w:val="10"/>
              </w:numPr>
              <w:rPr>
                <w:sz w:val="20"/>
                <w:szCs w:val="20"/>
              </w:rPr>
            </w:pPr>
            <w:r w:rsidRPr="009A5415">
              <w:rPr>
                <w:sz w:val="20"/>
                <w:szCs w:val="20"/>
              </w:rPr>
              <w:t>Metabolic syndrome</w:t>
            </w:r>
          </w:p>
          <w:p w:rsidR="009A5415" w:rsidRPr="009A5415" w:rsidRDefault="009A5415" w:rsidP="000F7FA8">
            <w:pPr>
              <w:pStyle w:val="Listeavsnitt"/>
              <w:numPr>
                <w:ilvl w:val="0"/>
                <w:numId w:val="10"/>
              </w:numPr>
              <w:rPr>
                <w:sz w:val="20"/>
                <w:szCs w:val="20"/>
              </w:rPr>
            </w:pPr>
            <w:r w:rsidRPr="009A5415">
              <w:rPr>
                <w:sz w:val="20"/>
                <w:szCs w:val="20"/>
              </w:rPr>
              <w:t>Diet with high positive energy-intake balance and high fat or high glycaemic index</w:t>
            </w:r>
          </w:p>
          <w:p w:rsidR="009A5415" w:rsidRPr="009A5415" w:rsidRDefault="009A5415" w:rsidP="000F7FA8">
            <w:pPr>
              <w:pStyle w:val="Listeavsnitt"/>
              <w:numPr>
                <w:ilvl w:val="0"/>
                <w:numId w:val="10"/>
              </w:numPr>
              <w:rPr>
                <w:sz w:val="20"/>
                <w:szCs w:val="20"/>
              </w:rPr>
            </w:pPr>
            <w:r w:rsidRPr="009A5415">
              <w:rPr>
                <w:sz w:val="20"/>
                <w:szCs w:val="20"/>
              </w:rPr>
              <w:t>Increased alcohol consumption*</w:t>
            </w:r>
          </w:p>
          <w:p w:rsidR="009A5415" w:rsidRPr="009A5415" w:rsidRDefault="009A5415" w:rsidP="000F7FA8">
            <w:pPr>
              <w:pStyle w:val="Listeavsnitt"/>
              <w:numPr>
                <w:ilvl w:val="0"/>
                <w:numId w:val="10"/>
              </w:numPr>
              <w:rPr>
                <w:sz w:val="20"/>
                <w:szCs w:val="20"/>
              </w:rPr>
            </w:pPr>
            <w:r w:rsidRPr="009A5415">
              <w:rPr>
                <w:sz w:val="20"/>
                <w:szCs w:val="20"/>
              </w:rPr>
              <w:t>Diabetes mellitus (mainly type 2)</w:t>
            </w:r>
          </w:p>
          <w:p w:rsidR="009A5415" w:rsidRPr="009A5415" w:rsidRDefault="009A5415" w:rsidP="000F7FA8">
            <w:pPr>
              <w:pStyle w:val="Listeavsnitt"/>
              <w:numPr>
                <w:ilvl w:val="0"/>
                <w:numId w:val="10"/>
              </w:numPr>
              <w:rPr>
                <w:sz w:val="20"/>
                <w:szCs w:val="20"/>
              </w:rPr>
            </w:pPr>
            <w:r w:rsidRPr="009A5415">
              <w:rPr>
                <w:sz w:val="20"/>
                <w:szCs w:val="20"/>
              </w:rPr>
              <w:t>Hypothyroidism</w:t>
            </w:r>
          </w:p>
          <w:p w:rsidR="009A5415" w:rsidRPr="009A5415" w:rsidRDefault="009A5415" w:rsidP="000F7FA8">
            <w:pPr>
              <w:pStyle w:val="Listeavsnitt"/>
              <w:numPr>
                <w:ilvl w:val="0"/>
                <w:numId w:val="10"/>
              </w:numPr>
              <w:rPr>
                <w:sz w:val="20"/>
                <w:szCs w:val="20"/>
              </w:rPr>
            </w:pPr>
            <w:r w:rsidRPr="009A5415">
              <w:rPr>
                <w:sz w:val="20"/>
                <w:szCs w:val="20"/>
              </w:rPr>
              <w:t>Renal disease (proteinuria, uraemia or glomerulonephritis)</w:t>
            </w:r>
          </w:p>
          <w:p w:rsidR="009A5415" w:rsidRPr="009A5415" w:rsidRDefault="009A5415" w:rsidP="000F7FA8">
            <w:pPr>
              <w:pStyle w:val="Listeavsnitt"/>
              <w:numPr>
                <w:ilvl w:val="0"/>
                <w:numId w:val="10"/>
              </w:numPr>
              <w:rPr>
                <w:sz w:val="20"/>
                <w:szCs w:val="20"/>
              </w:rPr>
            </w:pPr>
            <w:r w:rsidRPr="009A5415">
              <w:rPr>
                <w:sz w:val="20"/>
                <w:szCs w:val="20"/>
              </w:rPr>
              <w:t>Pregnancy (particularly in the third trimester)</w:t>
            </w:r>
          </w:p>
          <w:p w:rsidR="009A5415" w:rsidRPr="009A5415" w:rsidRDefault="009A5415" w:rsidP="000F7FA8">
            <w:pPr>
              <w:pStyle w:val="Listeavsnitt"/>
              <w:numPr>
                <w:ilvl w:val="0"/>
                <w:numId w:val="10"/>
              </w:numPr>
              <w:rPr>
                <w:sz w:val="20"/>
                <w:szCs w:val="20"/>
              </w:rPr>
            </w:pPr>
            <w:r w:rsidRPr="009A5415">
              <w:rPr>
                <w:sz w:val="20"/>
                <w:szCs w:val="20"/>
              </w:rPr>
              <w:t>Paraproteinaemia</w:t>
            </w:r>
          </w:p>
          <w:p w:rsidR="009A5415" w:rsidRPr="009A5415" w:rsidRDefault="009A5415" w:rsidP="000F7FA8">
            <w:pPr>
              <w:pStyle w:val="Listeavsnitt"/>
              <w:numPr>
                <w:ilvl w:val="0"/>
                <w:numId w:val="10"/>
              </w:numPr>
              <w:rPr>
                <w:sz w:val="20"/>
                <w:szCs w:val="20"/>
              </w:rPr>
            </w:pPr>
            <w:r w:rsidRPr="009A5415">
              <w:rPr>
                <w:sz w:val="20"/>
                <w:szCs w:val="20"/>
              </w:rPr>
              <w:t>Systemic lupus erythematosis</w:t>
            </w:r>
          </w:p>
          <w:p w:rsidR="009A5415" w:rsidRPr="009A5415" w:rsidRDefault="009A5415" w:rsidP="000F7FA8">
            <w:pPr>
              <w:pStyle w:val="Listeavsnitt"/>
              <w:numPr>
                <w:ilvl w:val="0"/>
                <w:numId w:val="10"/>
              </w:numPr>
              <w:rPr>
                <w:sz w:val="20"/>
                <w:szCs w:val="20"/>
              </w:rPr>
            </w:pPr>
            <w:r w:rsidRPr="009A5415">
              <w:rPr>
                <w:sz w:val="20"/>
                <w:szCs w:val="20"/>
              </w:rPr>
              <w:t>Medications (including corticosteroids, oral estrogen, tamoxifen, thiazides, non-cardioselective beta-blockers and bile acid sequestrants, cyclophosphamide, L-asparaginase, protease inhibitors, and second generation antipsychotic agents, such as clozapine and olanzapine)</w:t>
            </w:r>
          </w:p>
          <w:p w:rsidR="009A5415" w:rsidRPr="009A5415" w:rsidRDefault="009A5415" w:rsidP="000F7FA8">
            <w:pPr>
              <w:rPr>
                <w:b/>
                <w:sz w:val="20"/>
                <w:szCs w:val="20"/>
              </w:rPr>
            </w:pPr>
            <w:r w:rsidRPr="009A5415">
              <w:rPr>
                <w:sz w:val="20"/>
                <w:szCs w:val="20"/>
              </w:rPr>
              <w:t>* While the range is variable, clinically the risk of HTG is generally considered to increase with more than two drinks daily in men, and more than one drink daily in women</w:t>
            </w:r>
          </w:p>
        </w:tc>
      </w:tr>
    </w:tbl>
    <w:p w:rsidR="009A5415" w:rsidRPr="00746514" w:rsidRDefault="009A5415" w:rsidP="009A5415">
      <w:pPr>
        <w:spacing w:after="0"/>
        <w:rPr>
          <w:rFonts w:cs="Calibri"/>
        </w:rPr>
      </w:pPr>
    </w:p>
    <w:p w:rsidR="00BF57A9" w:rsidRDefault="00BF57A9" w:rsidP="00A70A16">
      <w:pPr>
        <w:spacing w:after="0"/>
        <w:rPr>
          <w:rFonts w:cs="Calibri"/>
          <w:b/>
          <w:color w:val="C00000"/>
          <w:sz w:val="24"/>
          <w:szCs w:val="24"/>
        </w:rPr>
        <w:sectPr w:rsidR="00BF57A9" w:rsidSect="00A25FE8">
          <w:type w:val="continuous"/>
          <w:pgSz w:w="12240" w:h="15840"/>
          <w:pgMar w:top="1440" w:right="1440" w:bottom="1440" w:left="1440" w:header="708" w:footer="708" w:gutter="0"/>
          <w:cols w:space="708"/>
          <w:docGrid w:linePitch="360"/>
        </w:sectPr>
      </w:pPr>
    </w:p>
    <w:p w:rsidR="002D1A79" w:rsidRPr="00896E35" w:rsidRDefault="002D1A79" w:rsidP="00A70A16">
      <w:pPr>
        <w:spacing w:after="0"/>
        <w:rPr>
          <w:rFonts w:cs="Calibri"/>
          <w:b/>
          <w:color w:val="C00000"/>
          <w:sz w:val="24"/>
          <w:szCs w:val="24"/>
        </w:rPr>
      </w:pPr>
      <w:r w:rsidRPr="00896E35">
        <w:rPr>
          <w:rFonts w:cs="Calibri"/>
          <w:b/>
          <w:color w:val="C00000"/>
          <w:sz w:val="24"/>
          <w:szCs w:val="24"/>
        </w:rPr>
        <w:lastRenderedPageBreak/>
        <w:t>Secondary causes</w:t>
      </w:r>
    </w:p>
    <w:p w:rsidR="000C1FCC" w:rsidRDefault="002D1A79" w:rsidP="00A70A16">
      <w:pPr>
        <w:spacing w:after="0"/>
        <w:rPr>
          <w:rFonts w:cs="Calibri"/>
        </w:rPr>
      </w:pPr>
      <w:r w:rsidRPr="003074E2">
        <w:rPr>
          <w:rFonts w:cs="Calibri"/>
        </w:rPr>
        <w:t>HTG is often associated with other conditions</w:t>
      </w:r>
      <w:r w:rsidR="003920FB">
        <w:rPr>
          <w:rFonts w:cs="Calibri"/>
        </w:rPr>
        <w:t xml:space="preserve"> that independently increase plasma TG levels</w:t>
      </w:r>
      <w:r w:rsidRPr="003074E2">
        <w:rPr>
          <w:rFonts w:cs="Calibri"/>
        </w:rPr>
        <w:t xml:space="preserve">, such as type 2 diabetes, obesity, alcohol overuse, hypothyroidism, pregnancy, </w:t>
      </w:r>
      <w:r w:rsidR="007D34BD">
        <w:rPr>
          <w:rFonts w:cs="Calibri"/>
        </w:rPr>
        <w:t xml:space="preserve">hepatosteatosis, </w:t>
      </w:r>
      <w:r w:rsidRPr="003074E2">
        <w:rPr>
          <w:rFonts w:cs="Calibri"/>
        </w:rPr>
        <w:t xml:space="preserve">renal failure, or </w:t>
      </w:r>
      <w:r w:rsidR="00CB09CD">
        <w:rPr>
          <w:rFonts w:cs="Calibri"/>
        </w:rPr>
        <w:t xml:space="preserve">concomitant </w:t>
      </w:r>
      <w:r w:rsidRPr="003074E2">
        <w:rPr>
          <w:rFonts w:cs="Calibri"/>
        </w:rPr>
        <w:t>drug use</w:t>
      </w:r>
      <w:r w:rsidR="00CB09CD">
        <w:rPr>
          <w:rFonts w:cs="Calibri"/>
        </w:rPr>
        <w:t xml:space="preserve">, </w:t>
      </w:r>
      <w:r w:rsidR="007B1479">
        <w:rPr>
          <w:rFonts w:cs="Calibri"/>
        </w:rPr>
        <w:t xml:space="preserve">summarised </w:t>
      </w:r>
      <w:r w:rsidR="00CB09CD">
        <w:rPr>
          <w:rFonts w:cs="Calibri"/>
        </w:rPr>
        <w:t xml:space="preserve">in </w:t>
      </w:r>
      <w:r w:rsidR="00651E34">
        <w:rPr>
          <w:rFonts w:cs="Calibri"/>
          <w:b/>
        </w:rPr>
        <w:t>Panel</w:t>
      </w:r>
      <w:r w:rsidR="00896E35" w:rsidRPr="00896E35">
        <w:rPr>
          <w:rFonts w:cs="Calibri"/>
          <w:b/>
        </w:rPr>
        <w:t xml:space="preserve"> 1</w:t>
      </w:r>
      <w:r w:rsidR="00CB09CD">
        <w:rPr>
          <w:rFonts w:cs="Calibri"/>
        </w:rPr>
        <w:t xml:space="preserve"> and discussed at length elsewhere</w:t>
      </w:r>
      <w:r w:rsidR="00B36720">
        <w:rPr>
          <w:rFonts w:cs="Calibri"/>
        </w:rPr>
        <w:t>.</w:t>
      </w:r>
      <w:r w:rsidR="00CB09CD" w:rsidRPr="00997DBF">
        <w:rPr>
          <w:rFonts w:cs="Calibri"/>
          <w:vertAlign w:val="superscript"/>
        </w:rPr>
        <w:t>1</w:t>
      </w:r>
      <w:r w:rsidR="00041552" w:rsidRPr="00997DBF">
        <w:rPr>
          <w:rFonts w:cs="Calibri"/>
          <w:vertAlign w:val="superscript"/>
        </w:rPr>
        <w:t>,4</w:t>
      </w:r>
      <w:r w:rsidR="00CB09CD" w:rsidRPr="00997DBF">
        <w:rPr>
          <w:rFonts w:cs="Calibri"/>
          <w:vertAlign w:val="superscript"/>
        </w:rPr>
        <w:t>,6</w:t>
      </w:r>
      <w:r w:rsidR="00041552" w:rsidRPr="00997DBF">
        <w:rPr>
          <w:rFonts w:cs="Calibri"/>
          <w:vertAlign w:val="superscript"/>
        </w:rPr>
        <w:t>,7</w:t>
      </w:r>
      <w:r w:rsidRPr="003074E2">
        <w:rPr>
          <w:rFonts w:cs="Calibri"/>
        </w:rPr>
        <w:t xml:space="preserve"> </w:t>
      </w:r>
    </w:p>
    <w:p w:rsidR="00410AC4" w:rsidRDefault="00410AC4" w:rsidP="00410AC4">
      <w:pPr>
        <w:spacing w:before="240" w:after="0"/>
        <w:rPr>
          <w:rFonts w:cs="Calibri"/>
        </w:rPr>
      </w:pPr>
      <w:r>
        <w:rPr>
          <w:rFonts w:cs="Calibri"/>
        </w:rPr>
        <w:t>W</w:t>
      </w:r>
      <w:r w:rsidRPr="003074E2">
        <w:rPr>
          <w:rFonts w:cs="Calibri"/>
        </w:rPr>
        <w:t>hen one of these factors is present, the HTG is termed "secondary". However, secondary HTG often also has a genetic component, since some secondary factors are frequently but not universally associated with HTG</w:t>
      </w:r>
      <w:r>
        <w:rPr>
          <w:rFonts w:cs="Calibri"/>
        </w:rPr>
        <w:t>. This</w:t>
      </w:r>
      <w:r w:rsidRPr="003074E2">
        <w:rPr>
          <w:rFonts w:cs="Calibri"/>
        </w:rPr>
        <w:t xml:space="preserve"> suggest</w:t>
      </w:r>
      <w:r>
        <w:rPr>
          <w:rFonts w:cs="Calibri"/>
        </w:rPr>
        <w:t>s</w:t>
      </w:r>
      <w:r w:rsidRPr="003074E2">
        <w:rPr>
          <w:rFonts w:cs="Calibri"/>
        </w:rPr>
        <w:t xml:space="preserve"> that subjects who develop dyslipid</w:t>
      </w:r>
      <w:r>
        <w:rPr>
          <w:rFonts w:cs="Calibri"/>
        </w:rPr>
        <w:t>a</w:t>
      </w:r>
      <w:r w:rsidRPr="003074E2">
        <w:rPr>
          <w:rFonts w:cs="Calibri"/>
        </w:rPr>
        <w:t xml:space="preserve">emia might </w:t>
      </w:r>
      <w:r>
        <w:rPr>
          <w:rFonts w:cs="Calibri"/>
        </w:rPr>
        <w:t>carry</w:t>
      </w:r>
      <w:r w:rsidRPr="003074E2">
        <w:rPr>
          <w:rFonts w:cs="Calibri"/>
        </w:rPr>
        <w:t xml:space="preserve"> inherited defects that confer susceptibility</w:t>
      </w:r>
      <w:r>
        <w:rPr>
          <w:rFonts w:cs="Calibri"/>
        </w:rPr>
        <w:t>,</w:t>
      </w:r>
      <w:r w:rsidRPr="003074E2">
        <w:rPr>
          <w:rFonts w:cs="Calibri"/>
        </w:rPr>
        <w:t xml:space="preserve"> </w:t>
      </w:r>
      <w:r>
        <w:rPr>
          <w:rFonts w:cs="Calibri"/>
        </w:rPr>
        <w:t xml:space="preserve">which becomes clinically expressed </w:t>
      </w:r>
      <w:r w:rsidRPr="003074E2">
        <w:rPr>
          <w:rFonts w:cs="Calibri"/>
        </w:rPr>
        <w:t>in the presence of an external or secondary stress</w:t>
      </w:r>
      <w:r>
        <w:rPr>
          <w:rFonts w:cs="Calibri"/>
        </w:rPr>
        <w:t>.</w:t>
      </w:r>
      <w:r w:rsidRPr="00997DBF">
        <w:rPr>
          <w:rFonts w:cs="Calibri"/>
          <w:vertAlign w:val="superscript"/>
        </w:rPr>
        <w:t>4</w:t>
      </w:r>
      <w:r w:rsidRPr="003074E2">
        <w:rPr>
          <w:rFonts w:cs="Calibri"/>
        </w:rPr>
        <w:t xml:space="preserve"> For example, abdominal obesity</w:t>
      </w:r>
      <w:r>
        <w:rPr>
          <w:rFonts w:cs="Calibri"/>
        </w:rPr>
        <w:t>,</w:t>
      </w:r>
      <w:r w:rsidRPr="003074E2">
        <w:rPr>
          <w:rFonts w:cs="Calibri"/>
        </w:rPr>
        <w:t xml:space="preserve"> metabolic syndrome</w:t>
      </w:r>
      <w:r>
        <w:rPr>
          <w:rFonts w:cs="Calibri"/>
        </w:rPr>
        <w:t>,</w:t>
      </w:r>
      <w:r w:rsidRPr="003074E2">
        <w:rPr>
          <w:rFonts w:cs="Calibri"/>
        </w:rPr>
        <w:t xml:space="preserve"> </w:t>
      </w:r>
      <w:r>
        <w:rPr>
          <w:rFonts w:cs="Calibri"/>
        </w:rPr>
        <w:t xml:space="preserve">and non-alcoholic fatty liver disease are associated with increased risk of HTG and </w:t>
      </w:r>
      <w:r w:rsidRPr="003074E2">
        <w:rPr>
          <w:rFonts w:cs="Calibri"/>
        </w:rPr>
        <w:t xml:space="preserve">are becoming increasingly common in </w:t>
      </w:r>
      <w:r>
        <w:rPr>
          <w:rFonts w:cs="Calibri"/>
        </w:rPr>
        <w:t xml:space="preserve">adults, </w:t>
      </w:r>
      <w:r w:rsidRPr="003074E2">
        <w:rPr>
          <w:rFonts w:cs="Calibri"/>
        </w:rPr>
        <w:t>adolescents</w:t>
      </w:r>
      <w:r>
        <w:rPr>
          <w:rFonts w:cs="Calibri"/>
        </w:rPr>
        <w:t>,</w:t>
      </w:r>
      <w:r w:rsidRPr="003074E2">
        <w:rPr>
          <w:rFonts w:cs="Calibri"/>
        </w:rPr>
        <w:t xml:space="preserve"> and even children</w:t>
      </w:r>
      <w:r>
        <w:rPr>
          <w:rFonts w:cs="Calibri"/>
        </w:rPr>
        <w:t xml:space="preserve">. </w:t>
      </w:r>
      <w:r w:rsidRPr="003074E2">
        <w:rPr>
          <w:rFonts w:cs="Calibri"/>
        </w:rPr>
        <w:t>It is important to determine whether there is a strong secondary factor underlying the dyslipid</w:t>
      </w:r>
      <w:r>
        <w:rPr>
          <w:rFonts w:cs="Calibri"/>
        </w:rPr>
        <w:t>a</w:t>
      </w:r>
      <w:r w:rsidRPr="003074E2">
        <w:rPr>
          <w:rFonts w:cs="Calibri"/>
        </w:rPr>
        <w:t xml:space="preserve">emia, since this </w:t>
      </w:r>
      <w:r>
        <w:rPr>
          <w:rFonts w:cs="Calibri"/>
        </w:rPr>
        <w:t>would</w:t>
      </w:r>
      <w:r w:rsidRPr="003074E2">
        <w:rPr>
          <w:rFonts w:cs="Calibri"/>
        </w:rPr>
        <w:t xml:space="preserve"> guide intervention. </w:t>
      </w:r>
      <w:r>
        <w:rPr>
          <w:rFonts w:cs="Calibri"/>
        </w:rPr>
        <w:t>Furthermore, the severity of secondary HTG in an individual will likely be determined by the genetic susceptibility component. Finally, some of the secondary causes, such as obesity, metabolic syndrome, non-alcoholic fatty</w:t>
      </w:r>
      <w:r w:rsidRPr="00746514">
        <w:rPr>
          <w:rFonts w:cs="Calibri"/>
          <w:b/>
          <w:color w:val="00B050"/>
        </w:rPr>
        <w:t xml:space="preserve"> </w:t>
      </w:r>
      <w:r w:rsidRPr="00746514">
        <w:rPr>
          <w:rFonts w:cs="Calibri"/>
        </w:rPr>
        <w:t>liver disease</w:t>
      </w:r>
      <w:r>
        <w:rPr>
          <w:rFonts w:cs="Calibri"/>
        </w:rPr>
        <w:t>,</w:t>
      </w:r>
      <w:r w:rsidRPr="00746514">
        <w:rPr>
          <w:rFonts w:cs="Calibri"/>
        </w:rPr>
        <w:t xml:space="preserve"> and diabetes, have their own genetic susceptibility components.</w:t>
      </w:r>
    </w:p>
    <w:p w:rsidR="00173214" w:rsidRPr="000C1FCC" w:rsidRDefault="00173214" w:rsidP="00A70A16">
      <w:pPr>
        <w:spacing w:after="0"/>
        <w:rPr>
          <w:rFonts w:cs="Calibri"/>
          <w:b/>
          <w:color w:val="C00000"/>
          <w:sz w:val="24"/>
          <w:szCs w:val="24"/>
        </w:rPr>
      </w:pPr>
      <w:r w:rsidRPr="000C1FCC">
        <w:rPr>
          <w:rFonts w:cs="Calibri"/>
          <w:b/>
          <w:color w:val="C00000"/>
          <w:sz w:val="24"/>
          <w:szCs w:val="24"/>
        </w:rPr>
        <w:lastRenderedPageBreak/>
        <w:t>Re</w:t>
      </w:r>
      <w:r w:rsidR="00ED00FF" w:rsidRPr="000C1FCC">
        <w:rPr>
          <w:rFonts w:cs="Calibri"/>
          <w:b/>
          <w:color w:val="C00000"/>
          <w:sz w:val="24"/>
          <w:szCs w:val="24"/>
        </w:rPr>
        <w:t>-</w:t>
      </w:r>
      <w:r w:rsidRPr="000C1FCC">
        <w:rPr>
          <w:rFonts w:cs="Calibri"/>
          <w:b/>
          <w:color w:val="C00000"/>
          <w:sz w:val="24"/>
          <w:szCs w:val="24"/>
        </w:rPr>
        <w:t>definition of hypertriglycerid</w:t>
      </w:r>
      <w:r w:rsidR="00ED00FF" w:rsidRPr="000C1FCC">
        <w:rPr>
          <w:rFonts w:cs="Calibri"/>
          <w:b/>
          <w:color w:val="C00000"/>
          <w:sz w:val="24"/>
          <w:szCs w:val="24"/>
        </w:rPr>
        <w:t>a</w:t>
      </w:r>
      <w:r w:rsidRPr="000C1FCC">
        <w:rPr>
          <w:rFonts w:cs="Calibri"/>
          <w:b/>
          <w:color w:val="C00000"/>
          <w:sz w:val="24"/>
          <w:szCs w:val="24"/>
        </w:rPr>
        <w:t>emic states</w:t>
      </w:r>
    </w:p>
    <w:p w:rsidR="00896E71" w:rsidRDefault="00173214" w:rsidP="00A70A16">
      <w:pPr>
        <w:spacing w:after="0"/>
        <w:rPr>
          <w:rFonts w:cs="Calibri"/>
        </w:rPr>
      </w:pPr>
      <w:r>
        <w:rPr>
          <w:rFonts w:cs="Calibri"/>
        </w:rPr>
        <w:t>On the basis of</w:t>
      </w:r>
      <w:r w:rsidRPr="003074E2">
        <w:rPr>
          <w:rFonts w:cs="Calibri"/>
        </w:rPr>
        <w:t xml:space="preserve"> </w:t>
      </w:r>
      <w:r>
        <w:rPr>
          <w:rFonts w:cs="Calibri"/>
        </w:rPr>
        <w:t xml:space="preserve">the </w:t>
      </w:r>
      <w:r w:rsidRPr="003074E2">
        <w:rPr>
          <w:rFonts w:cs="Calibri"/>
        </w:rPr>
        <w:t xml:space="preserve">new genetic </w:t>
      </w:r>
      <w:r>
        <w:rPr>
          <w:rFonts w:cs="Calibri"/>
        </w:rPr>
        <w:t xml:space="preserve">data, </w:t>
      </w:r>
      <w:r w:rsidRPr="003074E2">
        <w:rPr>
          <w:rFonts w:cs="Calibri"/>
        </w:rPr>
        <w:t>we recommend a re</w:t>
      </w:r>
      <w:r w:rsidR="008E32FC">
        <w:rPr>
          <w:rFonts w:cs="Calibri"/>
        </w:rPr>
        <w:t>-</w:t>
      </w:r>
      <w:r w:rsidRPr="003074E2">
        <w:rPr>
          <w:rFonts w:cs="Calibri"/>
        </w:rPr>
        <w:t xml:space="preserve">definition of </w:t>
      </w:r>
      <w:r>
        <w:rPr>
          <w:rFonts w:cs="Calibri"/>
        </w:rPr>
        <w:t>HTG</w:t>
      </w:r>
      <w:r w:rsidRPr="003074E2">
        <w:rPr>
          <w:rFonts w:cs="Calibri"/>
        </w:rPr>
        <w:t xml:space="preserve"> states, </w:t>
      </w:r>
      <w:r>
        <w:rPr>
          <w:rFonts w:cs="Calibri"/>
        </w:rPr>
        <w:t>as follows</w:t>
      </w:r>
      <w:r w:rsidR="004C583F">
        <w:rPr>
          <w:rFonts w:cs="Calibri"/>
        </w:rPr>
        <w:t xml:space="preserve"> (see </w:t>
      </w:r>
      <w:r w:rsidR="00651E34">
        <w:rPr>
          <w:rFonts w:cs="Calibri"/>
          <w:b/>
        </w:rPr>
        <w:t>Panel</w:t>
      </w:r>
      <w:r w:rsidR="00896E71" w:rsidRPr="00896E71">
        <w:rPr>
          <w:rFonts w:cs="Calibri"/>
          <w:b/>
        </w:rPr>
        <w:t> 2</w:t>
      </w:r>
      <w:r w:rsidR="004C583F">
        <w:rPr>
          <w:rFonts w:cs="Calibri"/>
        </w:rPr>
        <w:t>)</w:t>
      </w:r>
      <w:r w:rsidR="00746514">
        <w:rPr>
          <w:rFonts w:cs="Calibri"/>
        </w:rPr>
        <w:t xml:space="preserve">. </w:t>
      </w:r>
    </w:p>
    <w:p w:rsidR="00896E71" w:rsidRDefault="00896E71" w:rsidP="00A70A16">
      <w:pPr>
        <w:spacing w:after="0"/>
        <w:rPr>
          <w:rFonts w:cs="Calibri"/>
        </w:rPr>
      </w:pPr>
    </w:p>
    <w:p w:rsidR="00173214" w:rsidRDefault="007C32F1" w:rsidP="00A70A16">
      <w:pPr>
        <w:spacing w:after="0"/>
        <w:rPr>
          <w:rFonts w:cs="Calibri"/>
        </w:rPr>
      </w:pPr>
      <w:r>
        <w:rPr>
          <w:rFonts w:cs="Calibri"/>
        </w:rPr>
        <w:t xml:space="preserve">First, </w:t>
      </w:r>
      <w:r w:rsidR="00746514">
        <w:rPr>
          <w:rFonts w:cs="Calibri"/>
        </w:rPr>
        <w:t xml:space="preserve">TG </w:t>
      </w:r>
      <w:r w:rsidR="00173214">
        <w:rPr>
          <w:rFonts w:cs="Calibri"/>
        </w:rPr>
        <w:t>&gt;</w:t>
      </w:r>
      <w:r w:rsidR="00173214" w:rsidRPr="003074E2">
        <w:rPr>
          <w:rFonts w:cs="Calibri"/>
        </w:rPr>
        <w:t xml:space="preserve">10 mmol/L </w:t>
      </w:r>
      <w:r w:rsidR="00173214">
        <w:rPr>
          <w:rFonts w:cs="Calibri"/>
        </w:rPr>
        <w:t xml:space="preserve">are </w:t>
      </w:r>
      <w:r w:rsidR="00173214" w:rsidRPr="003074E2">
        <w:rPr>
          <w:rFonts w:cs="Calibri"/>
        </w:rPr>
        <w:t xml:space="preserve">to be considered </w:t>
      </w:r>
      <w:r w:rsidR="00173214">
        <w:rPr>
          <w:rFonts w:cs="Calibri"/>
        </w:rPr>
        <w:t>more likely as having a</w:t>
      </w:r>
      <w:r w:rsidR="00173214" w:rsidRPr="003074E2">
        <w:rPr>
          <w:rFonts w:cs="Calibri"/>
        </w:rPr>
        <w:t xml:space="preserve"> monogenic </w:t>
      </w:r>
      <w:r w:rsidR="00173214">
        <w:rPr>
          <w:rFonts w:cs="Calibri"/>
        </w:rPr>
        <w:t>basis, especially in younger patients,</w:t>
      </w:r>
      <w:r w:rsidR="00173214" w:rsidRPr="003074E2">
        <w:rPr>
          <w:rFonts w:cs="Calibri"/>
        </w:rPr>
        <w:t xml:space="preserve"> </w:t>
      </w:r>
      <w:r w:rsidR="00173214">
        <w:rPr>
          <w:rFonts w:cs="Calibri"/>
        </w:rPr>
        <w:t xml:space="preserve">together with interacting </w:t>
      </w:r>
      <w:r w:rsidR="00173214" w:rsidRPr="003074E2">
        <w:rPr>
          <w:rFonts w:cs="Calibri"/>
        </w:rPr>
        <w:t>secondary factors</w:t>
      </w:r>
      <w:r>
        <w:rPr>
          <w:rFonts w:cs="Calibri"/>
        </w:rPr>
        <w:t xml:space="preserve">. However, even in this group, there are many instances </w:t>
      </w:r>
      <w:r w:rsidR="000707DE">
        <w:rPr>
          <w:rFonts w:cs="Calibri"/>
        </w:rPr>
        <w:t xml:space="preserve">- particularly in adults - </w:t>
      </w:r>
      <w:r>
        <w:rPr>
          <w:rFonts w:cs="Calibri"/>
        </w:rPr>
        <w:t>where no monogenic cause can be found</w:t>
      </w:r>
      <w:r w:rsidR="00112F50">
        <w:rPr>
          <w:rFonts w:cs="Calibri"/>
        </w:rPr>
        <w:t>;</w:t>
      </w:r>
      <w:r>
        <w:rPr>
          <w:rFonts w:cs="Calibri"/>
        </w:rPr>
        <w:t xml:space="preserve"> in these cases</w:t>
      </w:r>
      <w:r w:rsidR="008E32FC">
        <w:rPr>
          <w:rFonts w:cs="Calibri"/>
        </w:rPr>
        <w:t>,</w:t>
      </w:r>
      <w:r>
        <w:rPr>
          <w:rFonts w:cs="Calibri"/>
        </w:rPr>
        <w:t xml:space="preserve"> there is marked polygenic susceptibility compounded by significant exposure to secondary factors. </w:t>
      </w:r>
      <w:r w:rsidR="00F16509">
        <w:rPr>
          <w:rFonts w:cs="Calibri"/>
        </w:rPr>
        <w:t xml:space="preserve">Thus, </w:t>
      </w:r>
      <w:r w:rsidR="000707DE">
        <w:rPr>
          <w:rFonts w:cs="Calibri"/>
        </w:rPr>
        <w:t xml:space="preserve">except in children and adolescents with severe HTG, </w:t>
      </w:r>
      <w:r w:rsidR="00F16509">
        <w:rPr>
          <w:rFonts w:cs="Calibri"/>
        </w:rPr>
        <w:t xml:space="preserve">we do not recommend routine genetic testing.  </w:t>
      </w:r>
      <w:r>
        <w:rPr>
          <w:rFonts w:cs="Calibri"/>
        </w:rPr>
        <w:t>Second,</w:t>
      </w:r>
      <w:r w:rsidR="00173214">
        <w:rPr>
          <w:rFonts w:cs="Calibri"/>
        </w:rPr>
        <w:t xml:space="preserve"> TG </w:t>
      </w:r>
      <w:r w:rsidR="00173214" w:rsidRPr="003074E2">
        <w:rPr>
          <w:rFonts w:cs="Calibri"/>
        </w:rPr>
        <w:t xml:space="preserve">between 2 and 10 mmol/L </w:t>
      </w:r>
      <w:r w:rsidR="00173214">
        <w:rPr>
          <w:rFonts w:cs="Calibri"/>
        </w:rPr>
        <w:t xml:space="preserve">are </w:t>
      </w:r>
      <w:r w:rsidR="00173214" w:rsidRPr="003074E2">
        <w:rPr>
          <w:rFonts w:cs="Calibri"/>
        </w:rPr>
        <w:t>to be considered as a single group</w:t>
      </w:r>
      <w:r w:rsidR="00C33AA8">
        <w:rPr>
          <w:rFonts w:cs="Calibri"/>
        </w:rPr>
        <w:t xml:space="preserve">, irrespective of </w:t>
      </w:r>
      <w:r w:rsidR="0061437E">
        <w:rPr>
          <w:rFonts w:cs="Calibri"/>
        </w:rPr>
        <w:t>concomitant</w:t>
      </w:r>
      <w:r w:rsidR="00C33AA8">
        <w:rPr>
          <w:rFonts w:cs="Calibri"/>
        </w:rPr>
        <w:t xml:space="preserve"> lipoprotein disturbances</w:t>
      </w:r>
      <w:r w:rsidR="0061437E">
        <w:rPr>
          <w:rFonts w:cs="Calibri"/>
        </w:rPr>
        <w:t xml:space="preserve"> such as increased LDL cholesterol</w:t>
      </w:r>
      <w:r w:rsidR="00C33AA8">
        <w:rPr>
          <w:rFonts w:cs="Calibri"/>
        </w:rPr>
        <w:t xml:space="preserve">, </w:t>
      </w:r>
      <w:r w:rsidR="00173214">
        <w:rPr>
          <w:rFonts w:cs="Calibri"/>
        </w:rPr>
        <w:t>with elevated TG caused by</w:t>
      </w:r>
      <w:r w:rsidR="00173214" w:rsidRPr="003074E2">
        <w:rPr>
          <w:rFonts w:cs="Calibri"/>
        </w:rPr>
        <w:t xml:space="preserve"> inter</w:t>
      </w:r>
      <w:r w:rsidR="00173214">
        <w:rPr>
          <w:rFonts w:cs="Calibri"/>
        </w:rPr>
        <w:t>action</w:t>
      </w:r>
      <w:r w:rsidR="00173214" w:rsidRPr="003074E2">
        <w:rPr>
          <w:rFonts w:cs="Calibri"/>
        </w:rPr>
        <w:t xml:space="preserve"> of multiple gene</w:t>
      </w:r>
      <w:r w:rsidR="00173214">
        <w:rPr>
          <w:rFonts w:cs="Calibri"/>
        </w:rPr>
        <w:t>tic effect</w:t>
      </w:r>
      <w:r w:rsidR="00173214" w:rsidRPr="003074E2">
        <w:rPr>
          <w:rFonts w:cs="Calibri"/>
        </w:rPr>
        <w:t>s and secondary factors (</w:t>
      </w:r>
      <w:r w:rsidR="00896E71">
        <w:rPr>
          <w:rFonts w:cs="Calibri"/>
        </w:rPr>
        <w:t xml:space="preserve">see </w:t>
      </w:r>
      <w:r w:rsidR="00173214" w:rsidRPr="00896E71">
        <w:rPr>
          <w:rFonts w:cs="Calibri"/>
          <w:b/>
        </w:rPr>
        <w:t>Figure 1</w:t>
      </w:r>
      <w:r w:rsidR="00173214" w:rsidRPr="003074E2">
        <w:rPr>
          <w:rFonts w:cs="Calibri"/>
        </w:rPr>
        <w:t>).</w:t>
      </w:r>
      <w:r w:rsidR="00173214">
        <w:rPr>
          <w:rFonts w:cs="Calibri"/>
        </w:rPr>
        <w:t xml:space="preserve"> </w:t>
      </w:r>
      <w:r>
        <w:rPr>
          <w:rFonts w:cs="Calibri"/>
        </w:rPr>
        <w:t xml:space="preserve">For example, individuals with </w:t>
      </w:r>
      <w:r w:rsidR="006A3E25">
        <w:rPr>
          <w:rFonts w:cs="Calibri"/>
        </w:rPr>
        <w:t>HLP</w:t>
      </w:r>
      <w:r>
        <w:rPr>
          <w:rFonts w:cs="Calibri"/>
        </w:rPr>
        <w:t xml:space="preserve"> type </w:t>
      </w:r>
      <w:r w:rsidR="000708D4">
        <w:rPr>
          <w:rFonts w:cs="Calibri"/>
        </w:rPr>
        <w:t>2</w:t>
      </w:r>
      <w:r>
        <w:rPr>
          <w:rFonts w:cs="Calibri"/>
        </w:rPr>
        <w:t>B (often called familial combined hyperlipid</w:t>
      </w:r>
      <w:r w:rsidR="007B1479">
        <w:rPr>
          <w:rFonts w:cs="Calibri"/>
        </w:rPr>
        <w:t>a</w:t>
      </w:r>
      <w:r>
        <w:rPr>
          <w:rFonts w:cs="Calibri"/>
        </w:rPr>
        <w:t xml:space="preserve">emia) have the same </w:t>
      </w:r>
      <w:r w:rsidR="00453648" w:rsidRPr="00453648">
        <w:rPr>
          <w:rFonts w:cs="Calibri"/>
        </w:rPr>
        <w:t>genetic risk score</w:t>
      </w:r>
      <w:r>
        <w:rPr>
          <w:rFonts w:cs="Calibri"/>
        </w:rPr>
        <w:t xml:space="preserve"> as individuals with similar TG levels who have isolated or </w:t>
      </w:r>
      <w:r w:rsidR="006A3E25">
        <w:rPr>
          <w:rFonts w:cs="Calibri"/>
        </w:rPr>
        <w:t xml:space="preserve">HLP </w:t>
      </w:r>
      <w:r>
        <w:rPr>
          <w:rFonts w:cs="Calibri"/>
        </w:rPr>
        <w:t xml:space="preserve">type </w:t>
      </w:r>
      <w:r w:rsidR="000708D4">
        <w:rPr>
          <w:rFonts w:cs="Calibri"/>
        </w:rPr>
        <w:t>4</w:t>
      </w:r>
      <w:r w:rsidR="006A3E25">
        <w:rPr>
          <w:rFonts w:cs="Calibri"/>
        </w:rPr>
        <w:t xml:space="preserve"> HTG</w:t>
      </w:r>
      <w:r>
        <w:rPr>
          <w:rFonts w:cs="Calibri"/>
        </w:rPr>
        <w:t xml:space="preserve">; they differ in </w:t>
      </w:r>
      <w:r w:rsidR="000708D4">
        <w:rPr>
          <w:rFonts w:cs="Calibri"/>
        </w:rPr>
        <w:t xml:space="preserve">that individuals with </w:t>
      </w:r>
      <w:r w:rsidR="006A3E25">
        <w:rPr>
          <w:rFonts w:cs="Calibri"/>
        </w:rPr>
        <w:t xml:space="preserve">HLP </w:t>
      </w:r>
      <w:r w:rsidR="000708D4">
        <w:rPr>
          <w:rFonts w:cs="Calibri"/>
        </w:rPr>
        <w:t>type 2B have a higher</w:t>
      </w:r>
      <w:r>
        <w:rPr>
          <w:rFonts w:cs="Calibri"/>
        </w:rPr>
        <w:t xml:space="preserve"> genetic burden of alleles associated with hypercholesterol</w:t>
      </w:r>
      <w:r w:rsidR="007B1479">
        <w:rPr>
          <w:rFonts w:cs="Calibri"/>
        </w:rPr>
        <w:t>a</w:t>
      </w:r>
      <w:r>
        <w:rPr>
          <w:rFonts w:cs="Calibri"/>
        </w:rPr>
        <w:t>emia</w:t>
      </w:r>
      <w:r w:rsidR="00B36720">
        <w:rPr>
          <w:rFonts w:cs="Calibri"/>
        </w:rPr>
        <w:t>.</w:t>
      </w:r>
      <w:r w:rsidR="000707DE">
        <w:rPr>
          <w:rFonts w:cs="Calibri"/>
          <w:vertAlign w:val="superscript"/>
        </w:rPr>
        <w:t>30</w:t>
      </w:r>
      <w:r w:rsidR="00F16509">
        <w:rPr>
          <w:rFonts w:cs="Calibri"/>
          <w:vertAlign w:val="superscript"/>
        </w:rPr>
        <w:t xml:space="preserve"> </w:t>
      </w:r>
      <w:r w:rsidR="006A3E25">
        <w:rPr>
          <w:rFonts w:cs="Calibri"/>
        </w:rPr>
        <w:t>Again, w</w:t>
      </w:r>
      <w:r w:rsidR="00F16509">
        <w:rPr>
          <w:rFonts w:cs="Calibri"/>
        </w:rPr>
        <w:t>e do not recomm</w:t>
      </w:r>
      <w:r w:rsidR="000707DE">
        <w:rPr>
          <w:rFonts w:cs="Calibri"/>
        </w:rPr>
        <w:t>end routine genetic testing in individuals with TG between 2 and 10 mmol/L</w:t>
      </w:r>
      <w:r w:rsidR="00F16509">
        <w:rPr>
          <w:rFonts w:cs="Calibri"/>
        </w:rPr>
        <w:t xml:space="preserve">.  </w:t>
      </w:r>
    </w:p>
    <w:p w:rsidR="00BF57A9" w:rsidRDefault="00BF57A9" w:rsidP="00A70A16">
      <w:pPr>
        <w:spacing w:after="0"/>
        <w:rPr>
          <w:rFonts w:cs="Calibri"/>
        </w:rPr>
        <w:sectPr w:rsidR="00BF57A9" w:rsidSect="00BF57A9">
          <w:type w:val="continuous"/>
          <w:pgSz w:w="12240" w:h="15840"/>
          <w:pgMar w:top="1440" w:right="1440" w:bottom="1440" w:left="1440" w:header="708" w:footer="708" w:gutter="0"/>
          <w:cols w:num="2" w:space="708"/>
          <w:docGrid w:linePitch="360"/>
        </w:sectPr>
      </w:pPr>
    </w:p>
    <w:p w:rsidR="009A5415" w:rsidRDefault="009A5415" w:rsidP="00A70A16">
      <w:pPr>
        <w:spacing w:after="0"/>
        <w:rPr>
          <w:rFonts w:cs="Calibri"/>
        </w:rPr>
      </w:pPr>
    </w:p>
    <w:p w:rsidR="009A5415" w:rsidRPr="00896E71" w:rsidRDefault="00651E34" w:rsidP="00BF57A9">
      <w:pPr>
        <w:spacing w:after="0"/>
        <w:jc w:val="center"/>
        <w:rPr>
          <w:rFonts w:cs="Calibri"/>
          <w:b/>
          <w:bCs/>
          <w:color w:val="C00000"/>
        </w:rPr>
      </w:pPr>
      <w:r>
        <w:rPr>
          <w:rFonts w:cs="Calibri"/>
          <w:b/>
          <w:bCs/>
          <w:color w:val="C00000"/>
        </w:rPr>
        <w:t>Panel</w:t>
      </w:r>
      <w:r w:rsidR="009A5415" w:rsidRPr="00896E71">
        <w:rPr>
          <w:rFonts w:cs="Calibri"/>
          <w:b/>
          <w:bCs/>
          <w:color w:val="C00000"/>
        </w:rPr>
        <w:t xml:space="preserve"> </w:t>
      </w:r>
      <w:r w:rsidR="003E16B6">
        <w:rPr>
          <w:rFonts w:cs="Calibri"/>
          <w:b/>
          <w:bCs/>
          <w:color w:val="C00000"/>
        </w:rPr>
        <w:t>2</w:t>
      </w:r>
      <w:r w:rsidR="009A5415" w:rsidRPr="00896E71">
        <w:rPr>
          <w:rFonts w:cs="Calibri"/>
          <w:b/>
          <w:bCs/>
          <w:color w:val="C00000"/>
        </w:rPr>
        <w:t>. Proposed simplified redefinition of hypertriglyceridemia</w:t>
      </w:r>
    </w:p>
    <w:tbl>
      <w:tblPr>
        <w:tblStyle w:val="Tabellrutenett"/>
        <w:tblW w:w="0" w:type="auto"/>
        <w:tblInd w:w="1809" w:type="dxa"/>
        <w:tblBorders>
          <w:insideH w:val="none" w:sz="0" w:space="0" w:color="auto"/>
          <w:insideV w:val="none" w:sz="0" w:space="0" w:color="auto"/>
        </w:tblBorders>
        <w:shd w:val="clear" w:color="auto" w:fill="F8ECEC"/>
        <w:tblLook w:val="04A0"/>
      </w:tblPr>
      <w:tblGrid>
        <w:gridCol w:w="1825"/>
        <w:gridCol w:w="4554"/>
      </w:tblGrid>
      <w:tr w:rsidR="009A5415" w:rsidRPr="00896E71" w:rsidTr="006D52E0">
        <w:tc>
          <w:tcPr>
            <w:tcW w:w="1825" w:type="dxa"/>
            <w:shd w:val="clear" w:color="auto" w:fill="F8ECEC"/>
          </w:tcPr>
          <w:p w:rsidR="009A5415" w:rsidRPr="00896E71" w:rsidRDefault="009A5415" w:rsidP="000F7FA8">
            <w:pPr>
              <w:spacing w:after="0"/>
              <w:rPr>
                <w:rFonts w:cs="Calibri"/>
                <w:b/>
                <w:color w:val="C00000"/>
                <w:lang w:val="en-US" w:eastAsia="en-US"/>
              </w:rPr>
            </w:pPr>
            <w:r w:rsidRPr="00896E71">
              <w:rPr>
                <w:rFonts w:cs="Calibri"/>
                <w:b/>
                <w:color w:val="C00000"/>
                <w:lang w:val="en-US" w:eastAsia="en-US"/>
              </w:rPr>
              <w:t>Normal</w:t>
            </w:r>
          </w:p>
        </w:tc>
        <w:tc>
          <w:tcPr>
            <w:tcW w:w="4554" w:type="dxa"/>
            <w:shd w:val="clear" w:color="auto" w:fill="F8ECEC"/>
          </w:tcPr>
          <w:p w:rsidR="009A5415" w:rsidRPr="00896E71" w:rsidRDefault="009A5415" w:rsidP="000F7FA8">
            <w:pPr>
              <w:spacing w:after="0"/>
              <w:rPr>
                <w:rFonts w:cs="Calibri"/>
                <w:b/>
                <w:color w:val="C00000"/>
                <w:lang w:val="en-US" w:eastAsia="en-US"/>
              </w:rPr>
            </w:pPr>
            <w:r w:rsidRPr="00896E71">
              <w:rPr>
                <w:rFonts w:cs="Calibri"/>
                <w:b/>
                <w:color w:val="C00000"/>
                <w:lang w:val="en-US" w:eastAsia="en-US"/>
              </w:rPr>
              <w:t>&lt; 2·0 mmol/L (175 mg/dL)</w:t>
            </w:r>
          </w:p>
          <w:p w:rsidR="009A5415" w:rsidRPr="00896E71" w:rsidRDefault="009A5415" w:rsidP="000F7FA8">
            <w:pPr>
              <w:spacing w:after="0"/>
              <w:rPr>
                <w:rFonts w:cs="Calibri"/>
                <w:b/>
                <w:color w:val="C00000"/>
                <w:lang w:val="en-US" w:eastAsia="en-US"/>
              </w:rPr>
            </w:pPr>
          </w:p>
        </w:tc>
      </w:tr>
      <w:tr w:rsidR="009A5415" w:rsidRPr="00896E71" w:rsidTr="006D52E0">
        <w:tc>
          <w:tcPr>
            <w:tcW w:w="1825" w:type="dxa"/>
            <w:shd w:val="clear" w:color="auto" w:fill="F8ECEC"/>
          </w:tcPr>
          <w:p w:rsidR="009A5415" w:rsidRPr="00896E71" w:rsidRDefault="009A5415" w:rsidP="000F7FA8">
            <w:pPr>
              <w:spacing w:after="0"/>
              <w:rPr>
                <w:rFonts w:cs="Calibri"/>
                <w:b/>
                <w:color w:val="C00000"/>
                <w:lang w:val="en-US" w:eastAsia="en-US"/>
              </w:rPr>
            </w:pPr>
            <w:r w:rsidRPr="00896E71">
              <w:rPr>
                <w:rFonts w:cs="Calibri"/>
                <w:b/>
                <w:color w:val="C00000"/>
                <w:lang w:val="it-IT" w:eastAsia="en-US"/>
              </w:rPr>
              <w:t>Mild-to-moderate</w:t>
            </w:r>
          </w:p>
        </w:tc>
        <w:tc>
          <w:tcPr>
            <w:tcW w:w="4554" w:type="dxa"/>
            <w:shd w:val="clear" w:color="auto" w:fill="F8ECEC"/>
          </w:tcPr>
          <w:p w:rsidR="009A5415" w:rsidRPr="00896E71" w:rsidRDefault="009A5415" w:rsidP="000F7FA8">
            <w:pPr>
              <w:spacing w:after="0"/>
              <w:rPr>
                <w:rFonts w:cs="Calibri"/>
                <w:b/>
                <w:color w:val="C00000"/>
                <w:lang w:val="it-IT" w:eastAsia="en-US"/>
              </w:rPr>
            </w:pPr>
            <w:r w:rsidRPr="00896E71">
              <w:rPr>
                <w:rFonts w:cs="Calibri"/>
                <w:b/>
                <w:color w:val="C00000"/>
                <w:lang w:val="it-IT" w:eastAsia="en-US"/>
              </w:rPr>
              <w:t>2.0 - 10.0 mmol/L (175 - 885 mg/dL)</w:t>
            </w:r>
          </w:p>
          <w:p w:rsidR="009A5415" w:rsidRPr="00896E71" w:rsidRDefault="009A5415" w:rsidP="000F7FA8">
            <w:pPr>
              <w:spacing w:after="0"/>
              <w:rPr>
                <w:rFonts w:cs="Calibri"/>
                <w:b/>
                <w:color w:val="C00000"/>
                <w:lang w:val="en-US" w:eastAsia="en-US"/>
              </w:rPr>
            </w:pPr>
          </w:p>
        </w:tc>
      </w:tr>
      <w:tr w:rsidR="009A5415" w:rsidRPr="00896E71" w:rsidTr="006D52E0">
        <w:tc>
          <w:tcPr>
            <w:tcW w:w="1825" w:type="dxa"/>
            <w:shd w:val="clear" w:color="auto" w:fill="F8ECEC"/>
          </w:tcPr>
          <w:p w:rsidR="009A5415" w:rsidRPr="00896E71" w:rsidRDefault="009A5415" w:rsidP="000F7FA8">
            <w:pPr>
              <w:spacing w:after="0"/>
              <w:rPr>
                <w:rFonts w:cs="Calibri"/>
                <w:b/>
                <w:color w:val="C00000"/>
                <w:lang w:val="it-IT" w:eastAsia="en-US"/>
              </w:rPr>
            </w:pPr>
            <w:r w:rsidRPr="00896E71">
              <w:rPr>
                <w:rFonts w:cs="Calibri"/>
                <w:b/>
                <w:color w:val="C00000"/>
                <w:lang w:val="it-IT" w:eastAsia="en-US"/>
              </w:rPr>
              <w:t>Severe</w:t>
            </w:r>
          </w:p>
        </w:tc>
        <w:tc>
          <w:tcPr>
            <w:tcW w:w="4554" w:type="dxa"/>
            <w:shd w:val="clear" w:color="auto" w:fill="F8ECEC"/>
          </w:tcPr>
          <w:p w:rsidR="009A5415" w:rsidRPr="00896E71" w:rsidRDefault="009A5415" w:rsidP="000F7FA8">
            <w:pPr>
              <w:spacing w:after="0"/>
              <w:rPr>
                <w:rFonts w:cs="Calibri"/>
                <w:b/>
                <w:color w:val="C00000"/>
                <w:lang w:val="it-IT" w:eastAsia="en-US"/>
              </w:rPr>
            </w:pPr>
            <w:r w:rsidRPr="00896E71">
              <w:rPr>
                <w:rFonts w:cs="Calibri"/>
                <w:b/>
                <w:color w:val="C00000"/>
                <w:lang w:val="en-US" w:eastAsia="en-US"/>
              </w:rPr>
              <w:t>&gt; 10.0 mmol/L (885 mg/dL)</w:t>
            </w:r>
          </w:p>
        </w:tc>
      </w:tr>
    </w:tbl>
    <w:p w:rsidR="009A5415" w:rsidRDefault="009A5415" w:rsidP="009A5415">
      <w:pPr>
        <w:spacing w:after="0"/>
        <w:rPr>
          <w:rFonts w:cs="Calibri"/>
        </w:rPr>
      </w:pPr>
    </w:p>
    <w:p w:rsidR="00BF57A9" w:rsidRDefault="00BF57A9" w:rsidP="00A70A16">
      <w:pPr>
        <w:spacing w:after="0"/>
        <w:rPr>
          <w:rFonts w:cs="Calibri"/>
          <w:b/>
          <w:color w:val="C00000"/>
          <w:sz w:val="24"/>
          <w:szCs w:val="24"/>
        </w:rPr>
        <w:sectPr w:rsidR="00BF57A9" w:rsidSect="00A25FE8">
          <w:type w:val="continuous"/>
          <w:pgSz w:w="12240" w:h="15840"/>
          <w:pgMar w:top="1440" w:right="1440" w:bottom="1440" w:left="1440" w:header="708" w:footer="708" w:gutter="0"/>
          <w:cols w:space="708"/>
          <w:docGrid w:linePitch="360"/>
        </w:sectPr>
      </w:pPr>
    </w:p>
    <w:p w:rsidR="002D1A79" w:rsidRPr="00896E71" w:rsidRDefault="00173214" w:rsidP="00A70A16">
      <w:pPr>
        <w:spacing w:after="0"/>
        <w:rPr>
          <w:rFonts w:cs="Calibri"/>
          <w:b/>
          <w:color w:val="C00000"/>
          <w:sz w:val="24"/>
          <w:szCs w:val="24"/>
        </w:rPr>
      </w:pPr>
      <w:r w:rsidRPr="00896E71">
        <w:rPr>
          <w:rFonts w:cs="Calibri"/>
          <w:b/>
          <w:color w:val="C00000"/>
          <w:sz w:val="24"/>
          <w:szCs w:val="24"/>
        </w:rPr>
        <w:lastRenderedPageBreak/>
        <w:t>Desirable levels of TG and related variables</w:t>
      </w:r>
    </w:p>
    <w:p w:rsidR="002D1A79" w:rsidRDefault="002D1A79" w:rsidP="00A70A16">
      <w:pPr>
        <w:spacing w:after="0"/>
        <w:rPr>
          <w:rFonts w:cs="Calibri"/>
        </w:rPr>
      </w:pPr>
      <w:r w:rsidRPr="003074E2">
        <w:rPr>
          <w:rFonts w:cs="Calibri"/>
        </w:rPr>
        <w:t xml:space="preserve">HTG is arbitrarily defined as a </w:t>
      </w:r>
      <w:r w:rsidR="00D74310" w:rsidRPr="003074E2">
        <w:rPr>
          <w:rFonts w:cs="Calibri"/>
        </w:rPr>
        <w:t>plasma</w:t>
      </w:r>
      <w:r w:rsidRPr="003074E2">
        <w:rPr>
          <w:rFonts w:cs="Calibri"/>
        </w:rPr>
        <w:t xml:space="preserve"> TG level &gt;</w:t>
      </w:r>
      <w:r w:rsidR="00657D81" w:rsidRPr="003074E2">
        <w:rPr>
          <w:rFonts w:cs="Calibri"/>
        </w:rPr>
        <w:t xml:space="preserve">2 mmol/L (&gt;175 mg/dL) </w:t>
      </w:r>
      <w:r w:rsidRPr="003074E2">
        <w:rPr>
          <w:rFonts w:cs="Calibri"/>
        </w:rPr>
        <w:t xml:space="preserve">on the basis of large prospective observational studies, although </w:t>
      </w:r>
      <w:r w:rsidR="00D74310" w:rsidRPr="003074E2">
        <w:rPr>
          <w:rFonts w:cs="Calibri"/>
        </w:rPr>
        <w:t>plasma</w:t>
      </w:r>
      <w:r w:rsidRPr="003074E2">
        <w:rPr>
          <w:rFonts w:cs="Calibri"/>
        </w:rPr>
        <w:t xml:space="preserve"> TG </w:t>
      </w:r>
      <w:r w:rsidR="00C33AA8">
        <w:rPr>
          <w:rFonts w:cs="Calibri"/>
        </w:rPr>
        <w:t xml:space="preserve">may </w:t>
      </w:r>
      <w:r w:rsidRPr="003074E2">
        <w:rPr>
          <w:rFonts w:cs="Calibri"/>
        </w:rPr>
        <w:t xml:space="preserve">start to confer risk or become a marker for CVD </w:t>
      </w:r>
      <w:r w:rsidR="00C33AA8">
        <w:rPr>
          <w:rFonts w:cs="Calibri"/>
        </w:rPr>
        <w:t>at</w:t>
      </w:r>
      <w:r w:rsidRPr="003074E2">
        <w:rPr>
          <w:rFonts w:cs="Calibri"/>
        </w:rPr>
        <w:t xml:space="preserve"> even lower</w:t>
      </w:r>
      <w:r w:rsidR="003920FB">
        <w:rPr>
          <w:rFonts w:cs="Calibri"/>
        </w:rPr>
        <w:t xml:space="preserve"> </w:t>
      </w:r>
      <w:r w:rsidR="00C33AA8">
        <w:rPr>
          <w:rFonts w:cs="Calibri"/>
        </w:rPr>
        <w:t>levels</w:t>
      </w:r>
      <w:r w:rsidR="00B36720">
        <w:rPr>
          <w:rFonts w:cs="Calibri"/>
        </w:rPr>
        <w:t>.</w:t>
      </w:r>
      <w:r w:rsidR="00041552" w:rsidRPr="00997DBF">
        <w:rPr>
          <w:rFonts w:cs="Calibri"/>
          <w:vertAlign w:val="superscript"/>
        </w:rPr>
        <w:t>4,6</w:t>
      </w:r>
      <w:r w:rsidR="00BC74DE">
        <w:rPr>
          <w:rFonts w:cs="Calibri"/>
          <w:vertAlign w:val="superscript"/>
        </w:rPr>
        <w:t>,7,11,12</w:t>
      </w:r>
      <w:r w:rsidRPr="003074E2">
        <w:rPr>
          <w:rFonts w:cs="Calibri"/>
        </w:rPr>
        <w:t xml:space="preserve"> </w:t>
      </w:r>
      <w:r w:rsidR="00C33AA8">
        <w:rPr>
          <w:rFonts w:cs="Calibri"/>
        </w:rPr>
        <w:t>TG l</w:t>
      </w:r>
      <w:r w:rsidRPr="003074E2">
        <w:rPr>
          <w:rFonts w:cs="Calibri"/>
        </w:rPr>
        <w:t xml:space="preserve">evels rising above this threshold, </w:t>
      </w:r>
      <w:r w:rsidR="000D0148">
        <w:rPr>
          <w:rFonts w:cs="Calibri"/>
        </w:rPr>
        <w:t>d</w:t>
      </w:r>
      <w:r w:rsidRPr="003074E2">
        <w:rPr>
          <w:rFonts w:cs="Calibri"/>
        </w:rPr>
        <w:t xml:space="preserve">ue to increased production </w:t>
      </w:r>
      <w:r w:rsidR="00F83426">
        <w:rPr>
          <w:rFonts w:cs="Calibri"/>
        </w:rPr>
        <w:t>and/</w:t>
      </w:r>
      <w:r w:rsidRPr="003074E2">
        <w:rPr>
          <w:rFonts w:cs="Calibri"/>
        </w:rPr>
        <w:t xml:space="preserve">or decreased clearance of TG-rich lipoproteins from the circulation, are accompanied </w:t>
      </w:r>
      <w:r w:rsidR="003920FB">
        <w:rPr>
          <w:rFonts w:cs="Calibri"/>
        </w:rPr>
        <w:t>by</w:t>
      </w:r>
      <w:r w:rsidRPr="003074E2">
        <w:rPr>
          <w:rFonts w:cs="Calibri"/>
        </w:rPr>
        <w:t xml:space="preserve"> changes in the metabolism and composition of other lipoprotein fractio</w:t>
      </w:r>
      <w:r w:rsidR="009D3619">
        <w:rPr>
          <w:rFonts w:cs="Calibri"/>
        </w:rPr>
        <w:t>ns such</w:t>
      </w:r>
      <w:r w:rsidR="00BA60EF">
        <w:rPr>
          <w:rFonts w:cs="Calibri"/>
        </w:rPr>
        <w:t xml:space="preserve"> as</w:t>
      </w:r>
      <w:r w:rsidR="009D3619">
        <w:rPr>
          <w:rFonts w:cs="Calibri"/>
        </w:rPr>
        <w:t xml:space="preserve"> LDL and HDL, which may </w:t>
      </w:r>
      <w:r w:rsidRPr="003074E2">
        <w:rPr>
          <w:rFonts w:cs="Calibri"/>
        </w:rPr>
        <w:t xml:space="preserve">partly explain </w:t>
      </w:r>
      <w:r w:rsidR="003920FB">
        <w:rPr>
          <w:rFonts w:cs="Calibri"/>
        </w:rPr>
        <w:t xml:space="preserve">the </w:t>
      </w:r>
      <w:r w:rsidRPr="003074E2">
        <w:rPr>
          <w:rFonts w:cs="Calibri"/>
        </w:rPr>
        <w:t>increased CVD risk</w:t>
      </w:r>
      <w:r w:rsidR="00B36720">
        <w:rPr>
          <w:rFonts w:cs="Calibri"/>
        </w:rPr>
        <w:t>.</w:t>
      </w:r>
      <w:r w:rsidRPr="00997DBF">
        <w:rPr>
          <w:rFonts w:cs="Calibri"/>
          <w:vertAlign w:val="superscript"/>
        </w:rPr>
        <w:t>3</w:t>
      </w:r>
      <w:r w:rsidRPr="003074E2">
        <w:rPr>
          <w:rFonts w:cs="Calibri"/>
        </w:rPr>
        <w:t xml:space="preserve">  </w:t>
      </w:r>
    </w:p>
    <w:p w:rsidR="00896E71" w:rsidRDefault="00896E71" w:rsidP="00A70A16">
      <w:pPr>
        <w:spacing w:after="0"/>
        <w:rPr>
          <w:rFonts w:cs="Calibri"/>
        </w:rPr>
      </w:pPr>
    </w:p>
    <w:p w:rsidR="00022127" w:rsidRDefault="002D1A79" w:rsidP="00A70A16">
      <w:pPr>
        <w:spacing w:after="0"/>
        <w:rPr>
          <w:rFonts w:cs="Calibri"/>
          <w:vertAlign w:val="superscript"/>
        </w:rPr>
      </w:pPr>
      <w:r w:rsidRPr="003074E2">
        <w:rPr>
          <w:rFonts w:cs="Calibri"/>
        </w:rPr>
        <w:t xml:space="preserve">According </w:t>
      </w:r>
      <w:r w:rsidR="00801334">
        <w:rPr>
          <w:rFonts w:cs="Calibri"/>
        </w:rPr>
        <w:t xml:space="preserve">to </w:t>
      </w:r>
      <w:r w:rsidRPr="003074E2">
        <w:rPr>
          <w:rFonts w:cs="Calibri"/>
        </w:rPr>
        <w:t xml:space="preserve">the </w:t>
      </w:r>
      <w:r w:rsidR="00DA0A83">
        <w:rPr>
          <w:rFonts w:cs="Calibri"/>
        </w:rPr>
        <w:t>Joint E</w:t>
      </w:r>
      <w:r w:rsidR="00604EB7">
        <w:rPr>
          <w:rFonts w:cs="Calibri"/>
        </w:rPr>
        <w:t>uropean Society of Cardiology (E</w:t>
      </w:r>
      <w:r w:rsidR="00DA0A83">
        <w:rPr>
          <w:rFonts w:cs="Calibri"/>
        </w:rPr>
        <w:t>SC</w:t>
      </w:r>
      <w:r w:rsidR="00604EB7">
        <w:rPr>
          <w:rFonts w:cs="Calibri"/>
        </w:rPr>
        <w:t>)</w:t>
      </w:r>
      <w:r w:rsidR="00DA0A83">
        <w:rPr>
          <w:rFonts w:cs="Calibri"/>
        </w:rPr>
        <w:t xml:space="preserve">/EAS Guidelines for Management of Dyslipidaemia and </w:t>
      </w:r>
      <w:r w:rsidRPr="003074E2">
        <w:rPr>
          <w:rFonts w:cs="Calibri"/>
        </w:rPr>
        <w:t xml:space="preserve">recent EAS Consensus </w:t>
      </w:r>
      <w:r w:rsidR="00DA0A83">
        <w:rPr>
          <w:rFonts w:cs="Calibri"/>
        </w:rPr>
        <w:t xml:space="preserve">Panel </w:t>
      </w:r>
      <w:r w:rsidRPr="003074E2">
        <w:rPr>
          <w:rFonts w:cs="Calibri"/>
        </w:rPr>
        <w:t>recommendations, a TG level &lt;1</w:t>
      </w:r>
      <w:r w:rsidR="00B12C96">
        <w:rPr>
          <w:rFonts w:cs="Calibri"/>
        </w:rPr>
        <w:t>·</w:t>
      </w:r>
      <w:r w:rsidRPr="003074E2">
        <w:rPr>
          <w:rFonts w:cs="Calibri"/>
        </w:rPr>
        <w:t>7 mmol/L (</w:t>
      </w:r>
      <w:r w:rsidR="00B12C96">
        <w:rPr>
          <w:rFonts w:cs="Calibri"/>
        </w:rPr>
        <w:t>&lt;</w:t>
      </w:r>
      <w:r w:rsidRPr="003074E2">
        <w:rPr>
          <w:rFonts w:cs="Calibri"/>
        </w:rPr>
        <w:t xml:space="preserve">150 mg/dL) is desirable, especially </w:t>
      </w:r>
      <w:r w:rsidR="006A3E25">
        <w:rPr>
          <w:rFonts w:cs="Calibri"/>
        </w:rPr>
        <w:t>if</w:t>
      </w:r>
      <w:r w:rsidRPr="003074E2">
        <w:rPr>
          <w:rFonts w:cs="Calibri"/>
        </w:rPr>
        <w:t xml:space="preserve"> HDL choleste</w:t>
      </w:r>
      <w:r w:rsidR="003920FB">
        <w:rPr>
          <w:rFonts w:cs="Calibri"/>
        </w:rPr>
        <w:t xml:space="preserve">rol </w:t>
      </w:r>
      <w:r w:rsidR="006A3E25">
        <w:rPr>
          <w:rFonts w:cs="Calibri"/>
        </w:rPr>
        <w:t xml:space="preserve">is </w:t>
      </w:r>
      <w:r w:rsidR="003920FB">
        <w:rPr>
          <w:rFonts w:cs="Calibri"/>
        </w:rPr>
        <w:t>&lt;1</w:t>
      </w:r>
      <w:r w:rsidR="00B12C96">
        <w:rPr>
          <w:rFonts w:cs="Calibri"/>
        </w:rPr>
        <w:t>·</w:t>
      </w:r>
      <w:r w:rsidR="003920FB">
        <w:rPr>
          <w:rFonts w:cs="Calibri"/>
        </w:rPr>
        <w:t>0 mmol/L (</w:t>
      </w:r>
      <w:r w:rsidR="0099696F">
        <w:rPr>
          <w:rFonts w:cs="Calibri"/>
        </w:rPr>
        <w:t>&lt;</w:t>
      </w:r>
      <w:r w:rsidRPr="003074E2">
        <w:rPr>
          <w:rFonts w:cs="Calibri"/>
        </w:rPr>
        <w:t>40</w:t>
      </w:r>
      <w:r w:rsidR="003920FB">
        <w:rPr>
          <w:rFonts w:cs="Calibri"/>
        </w:rPr>
        <w:t xml:space="preserve"> mg/dL) in men and &lt;1</w:t>
      </w:r>
      <w:r w:rsidR="00B12C96">
        <w:rPr>
          <w:rFonts w:cs="Calibri"/>
        </w:rPr>
        <w:t>·</w:t>
      </w:r>
      <w:r w:rsidR="003920FB">
        <w:rPr>
          <w:rFonts w:cs="Calibri"/>
        </w:rPr>
        <w:t>2 mmol/L (&lt;45 mg/dL)</w:t>
      </w:r>
      <w:r w:rsidRPr="003074E2">
        <w:rPr>
          <w:rFonts w:cs="Calibri"/>
        </w:rPr>
        <w:t xml:space="preserve"> in women</w:t>
      </w:r>
      <w:r w:rsidR="00B36720">
        <w:rPr>
          <w:rFonts w:cs="Calibri"/>
        </w:rPr>
        <w:t>.</w:t>
      </w:r>
      <w:r w:rsidR="00041552" w:rsidRPr="00997DBF">
        <w:rPr>
          <w:rFonts w:cs="Calibri"/>
          <w:vertAlign w:val="superscript"/>
        </w:rPr>
        <w:t>3,6,7</w:t>
      </w:r>
      <w:r w:rsidRPr="003074E2">
        <w:rPr>
          <w:rFonts w:cs="Calibri"/>
        </w:rPr>
        <w:t xml:space="preserve"> In </w:t>
      </w:r>
      <w:r w:rsidR="00F83426">
        <w:rPr>
          <w:rFonts w:cs="Calibri"/>
        </w:rPr>
        <w:t xml:space="preserve">post hoc </w:t>
      </w:r>
      <w:r w:rsidRPr="003074E2">
        <w:rPr>
          <w:rFonts w:cs="Calibri"/>
        </w:rPr>
        <w:t>subgroup analyses of clinical endpoint studies with fibrates, clinical benefit was found in subjects with TG &gt;2</w:t>
      </w:r>
      <w:r w:rsidR="00B12C96">
        <w:rPr>
          <w:rFonts w:cs="Calibri"/>
        </w:rPr>
        <w:t>·</w:t>
      </w:r>
      <w:r w:rsidRPr="003074E2">
        <w:rPr>
          <w:rFonts w:cs="Calibri"/>
        </w:rPr>
        <w:t>3 mmol/L (&gt;200 mg/dL) and low HDL cholesterol</w:t>
      </w:r>
      <w:r w:rsidR="00B36720">
        <w:rPr>
          <w:rFonts w:cs="Calibri"/>
        </w:rPr>
        <w:t>.</w:t>
      </w:r>
      <w:r w:rsidR="00BC74DE">
        <w:rPr>
          <w:rFonts w:cs="Calibri"/>
          <w:vertAlign w:val="superscript"/>
        </w:rPr>
        <w:t>23,24</w:t>
      </w:r>
      <w:r w:rsidRPr="003074E2">
        <w:rPr>
          <w:rFonts w:cs="Calibri"/>
        </w:rPr>
        <w:t xml:space="preserve"> </w:t>
      </w:r>
      <w:r w:rsidR="00173214">
        <w:rPr>
          <w:rFonts w:cs="Calibri"/>
        </w:rPr>
        <w:t>Thus</w:t>
      </w:r>
      <w:r w:rsidRPr="003074E2">
        <w:rPr>
          <w:rFonts w:cs="Calibri"/>
        </w:rPr>
        <w:t>,</w:t>
      </w:r>
      <w:r w:rsidR="00BA4946">
        <w:rPr>
          <w:rFonts w:cs="Calibri"/>
        </w:rPr>
        <w:t xml:space="preserve"> when lifestyle measures are insufficient,</w:t>
      </w:r>
      <w:r w:rsidRPr="003074E2">
        <w:rPr>
          <w:rFonts w:cs="Calibri"/>
        </w:rPr>
        <w:t xml:space="preserve"> </w:t>
      </w:r>
      <w:r w:rsidR="003074E2">
        <w:rPr>
          <w:rFonts w:cs="Calibri"/>
        </w:rPr>
        <w:t>individual</w:t>
      </w:r>
      <w:r w:rsidR="00BA4946">
        <w:rPr>
          <w:rFonts w:cs="Calibri"/>
        </w:rPr>
        <w:t xml:space="preserve">s with high CVD risk and elevated plasma </w:t>
      </w:r>
      <w:r w:rsidRPr="003074E2">
        <w:rPr>
          <w:rFonts w:cs="Calibri"/>
        </w:rPr>
        <w:t xml:space="preserve">TG </w:t>
      </w:r>
      <w:r w:rsidR="00F83426">
        <w:rPr>
          <w:rFonts w:cs="Calibri"/>
        </w:rPr>
        <w:t>may</w:t>
      </w:r>
      <w:r w:rsidRPr="003074E2">
        <w:rPr>
          <w:rFonts w:cs="Calibri"/>
        </w:rPr>
        <w:t xml:space="preserve"> be considered for drug treatment </w:t>
      </w:r>
      <w:r w:rsidR="00022127">
        <w:rPr>
          <w:rFonts w:cs="Calibri"/>
        </w:rPr>
        <w:t>if TG levels exceed this level</w:t>
      </w:r>
      <w:r w:rsidR="00B36720">
        <w:rPr>
          <w:rFonts w:cs="Calibri"/>
        </w:rPr>
        <w:t>.</w:t>
      </w:r>
      <w:r w:rsidRPr="00997DBF">
        <w:rPr>
          <w:rFonts w:cs="Calibri"/>
          <w:vertAlign w:val="superscript"/>
        </w:rPr>
        <w:t>3</w:t>
      </w:r>
      <w:r w:rsidR="00041552" w:rsidRPr="00997DBF">
        <w:rPr>
          <w:rFonts w:cs="Calibri"/>
          <w:vertAlign w:val="superscript"/>
        </w:rPr>
        <w:t>,6,7</w:t>
      </w:r>
      <w:r w:rsidRPr="003074E2">
        <w:rPr>
          <w:rFonts w:cs="Calibri"/>
        </w:rPr>
        <w:t xml:space="preserve"> </w:t>
      </w:r>
      <w:r w:rsidR="00F83426">
        <w:rPr>
          <w:rFonts w:cs="Calibri"/>
        </w:rPr>
        <w:t>However, t</w:t>
      </w:r>
      <w:r w:rsidRPr="003074E2">
        <w:rPr>
          <w:rFonts w:cs="Calibri"/>
        </w:rPr>
        <w:t xml:space="preserve">here is inadequate evidence to </w:t>
      </w:r>
      <w:r w:rsidR="00C33AA8">
        <w:rPr>
          <w:rFonts w:cs="Calibri"/>
        </w:rPr>
        <w:t>define</w:t>
      </w:r>
      <w:r w:rsidRPr="003074E2">
        <w:rPr>
          <w:rFonts w:cs="Calibri"/>
        </w:rPr>
        <w:t xml:space="preserve"> </w:t>
      </w:r>
      <w:r w:rsidR="009D3619">
        <w:rPr>
          <w:rFonts w:cs="Calibri"/>
        </w:rPr>
        <w:t xml:space="preserve">treatment </w:t>
      </w:r>
      <w:r w:rsidRPr="003074E2">
        <w:rPr>
          <w:rFonts w:cs="Calibri"/>
        </w:rPr>
        <w:t xml:space="preserve">targets for </w:t>
      </w:r>
      <w:r w:rsidR="00EC50A4" w:rsidRPr="003074E2">
        <w:rPr>
          <w:rFonts w:cs="Calibri"/>
        </w:rPr>
        <w:t>plasma</w:t>
      </w:r>
      <w:r w:rsidRPr="003074E2">
        <w:rPr>
          <w:rFonts w:cs="Calibri"/>
        </w:rPr>
        <w:t xml:space="preserve"> TG</w:t>
      </w:r>
      <w:r w:rsidR="00022127">
        <w:rPr>
          <w:rFonts w:cs="Calibri"/>
        </w:rPr>
        <w:t xml:space="preserve">. Even the TG threshold </w:t>
      </w:r>
      <w:r w:rsidR="00C33AA8">
        <w:rPr>
          <w:rFonts w:cs="Calibri"/>
        </w:rPr>
        <w:t>for</w:t>
      </w:r>
      <w:r w:rsidR="00022127">
        <w:rPr>
          <w:rFonts w:cs="Calibri"/>
        </w:rPr>
        <w:t xml:space="preserve"> diagnosis of HTG is not </w:t>
      </w:r>
      <w:r w:rsidR="000D0148">
        <w:rPr>
          <w:rFonts w:cs="Calibri"/>
        </w:rPr>
        <w:t>irrefutable</w:t>
      </w:r>
      <w:r w:rsidR="00022127">
        <w:rPr>
          <w:rFonts w:cs="Calibri"/>
        </w:rPr>
        <w:t xml:space="preserve">: no high-grade evidence </w:t>
      </w:r>
      <w:r w:rsidR="00C33AA8">
        <w:rPr>
          <w:rFonts w:cs="Calibri"/>
        </w:rPr>
        <w:t xml:space="preserve">exists to suggest that </w:t>
      </w:r>
      <w:r w:rsidR="00022127">
        <w:rPr>
          <w:rFonts w:cs="Calibri"/>
        </w:rPr>
        <w:t>2</w:t>
      </w:r>
      <w:r w:rsidR="00B12C96">
        <w:rPr>
          <w:rFonts w:cs="Calibri"/>
        </w:rPr>
        <w:t>·</w:t>
      </w:r>
      <w:r w:rsidR="00022127">
        <w:rPr>
          <w:rFonts w:cs="Calibri"/>
        </w:rPr>
        <w:t>0</w:t>
      </w:r>
      <w:r w:rsidR="000708D4">
        <w:rPr>
          <w:rFonts w:cs="Calibri"/>
        </w:rPr>
        <w:t xml:space="preserve"> </w:t>
      </w:r>
      <w:r w:rsidR="00022127">
        <w:rPr>
          <w:rFonts w:cs="Calibri"/>
        </w:rPr>
        <w:t>mmol/L is superior to 1</w:t>
      </w:r>
      <w:r w:rsidR="00B12C96">
        <w:rPr>
          <w:rFonts w:cs="Calibri"/>
        </w:rPr>
        <w:t>·</w:t>
      </w:r>
      <w:r w:rsidR="00022127">
        <w:rPr>
          <w:rFonts w:cs="Calibri"/>
        </w:rPr>
        <w:t>7 or 2</w:t>
      </w:r>
      <w:r w:rsidR="00B12C96">
        <w:rPr>
          <w:rFonts w:cs="Calibri"/>
        </w:rPr>
        <w:t>·</w:t>
      </w:r>
      <w:r w:rsidR="00022127">
        <w:rPr>
          <w:rFonts w:cs="Calibri"/>
        </w:rPr>
        <w:t>3 mmol/L</w:t>
      </w:r>
      <w:r w:rsidR="000708D4">
        <w:rPr>
          <w:rFonts w:cs="Calibri"/>
        </w:rPr>
        <w:t>. H</w:t>
      </w:r>
      <w:r w:rsidR="00022127">
        <w:rPr>
          <w:rFonts w:cs="Calibri"/>
        </w:rPr>
        <w:t>ere we have settled on 2</w:t>
      </w:r>
      <w:r w:rsidR="006A3E25">
        <w:rPr>
          <w:rFonts w:cs="Calibri"/>
        </w:rPr>
        <w:t>.0</w:t>
      </w:r>
      <w:r w:rsidR="00022127">
        <w:rPr>
          <w:rFonts w:cs="Calibri"/>
        </w:rPr>
        <w:t xml:space="preserve"> mmol/L as the </w:t>
      </w:r>
      <w:r w:rsidR="00C33AA8">
        <w:rPr>
          <w:rFonts w:cs="Calibri"/>
        </w:rPr>
        <w:t xml:space="preserve">HTG </w:t>
      </w:r>
      <w:r w:rsidR="00022127">
        <w:rPr>
          <w:rFonts w:cs="Calibri"/>
        </w:rPr>
        <w:t xml:space="preserve">diagnostic threshold, but there is expert opinion for values </w:t>
      </w:r>
      <w:r w:rsidR="00022127">
        <w:rPr>
          <w:rFonts w:cs="Calibri"/>
          <w:u w:val="single"/>
        </w:rPr>
        <w:t>+</w:t>
      </w:r>
      <w:r w:rsidR="00022127">
        <w:rPr>
          <w:rFonts w:cs="Calibri"/>
        </w:rPr>
        <w:t xml:space="preserve"> 0</w:t>
      </w:r>
      <w:r w:rsidR="00B12C96">
        <w:rPr>
          <w:rFonts w:cs="Calibri"/>
        </w:rPr>
        <w:t>·</w:t>
      </w:r>
      <w:r w:rsidR="00022127">
        <w:rPr>
          <w:rFonts w:cs="Calibri"/>
        </w:rPr>
        <w:t>3 mmol/L around this cutpoint</w:t>
      </w:r>
      <w:r w:rsidR="00B36720">
        <w:rPr>
          <w:rFonts w:cs="Calibri"/>
        </w:rPr>
        <w:t>.</w:t>
      </w:r>
      <w:r w:rsidR="00022127" w:rsidRPr="00997DBF">
        <w:rPr>
          <w:rFonts w:cs="Calibri"/>
          <w:vertAlign w:val="superscript"/>
        </w:rPr>
        <w:t>1,3,4</w:t>
      </w:r>
      <w:r w:rsidR="005A5F5E">
        <w:rPr>
          <w:rFonts w:cs="Calibri"/>
          <w:vertAlign w:val="superscript"/>
        </w:rPr>
        <w:t>–</w:t>
      </w:r>
      <w:r w:rsidR="00022127" w:rsidRPr="00997DBF">
        <w:rPr>
          <w:rFonts w:cs="Calibri"/>
          <w:vertAlign w:val="superscript"/>
        </w:rPr>
        <w:t>7</w:t>
      </w:r>
    </w:p>
    <w:p w:rsidR="00896E71" w:rsidRDefault="00896E71" w:rsidP="00A70A16">
      <w:pPr>
        <w:spacing w:after="0"/>
        <w:rPr>
          <w:rFonts w:cs="Calibri"/>
        </w:rPr>
      </w:pPr>
    </w:p>
    <w:p w:rsidR="002D1A79" w:rsidRDefault="00CB09CD" w:rsidP="00A70A16">
      <w:pPr>
        <w:spacing w:after="0"/>
        <w:rPr>
          <w:rFonts w:cs="Calibri"/>
          <w:vertAlign w:val="superscript"/>
        </w:rPr>
      </w:pPr>
      <w:r>
        <w:rPr>
          <w:rFonts w:cs="Calibri"/>
        </w:rPr>
        <w:t>An</w:t>
      </w:r>
      <w:r w:rsidR="00974266">
        <w:rPr>
          <w:rFonts w:cs="Calibri"/>
        </w:rPr>
        <w:t xml:space="preserve"> emerging</w:t>
      </w:r>
      <w:r w:rsidR="002D1A79" w:rsidRPr="003074E2">
        <w:rPr>
          <w:rFonts w:cs="Calibri"/>
        </w:rPr>
        <w:t xml:space="preserve"> focus for CVD risk reduction in HTG is the level of non-HDL cholesterol</w:t>
      </w:r>
      <w:r w:rsidR="00173214">
        <w:rPr>
          <w:rFonts w:cs="Calibri"/>
        </w:rPr>
        <w:t xml:space="preserve"> (</w:t>
      </w:r>
      <w:r w:rsidR="00974266">
        <w:rPr>
          <w:rFonts w:cs="Calibri"/>
        </w:rPr>
        <w:t>compris</w:t>
      </w:r>
      <w:r w:rsidR="00173214">
        <w:rPr>
          <w:rFonts w:cs="Calibri"/>
        </w:rPr>
        <w:t>ing</w:t>
      </w:r>
      <w:r w:rsidR="00EC50A4">
        <w:rPr>
          <w:rFonts w:cs="Calibri"/>
        </w:rPr>
        <w:t xml:space="preserve"> </w:t>
      </w:r>
      <w:r w:rsidR="006A3E25">
        <w:rPr>
          <w:rFonts w:cs="Calibri"/>
        </w:rPr>
        <w:t xml:space="preserve">cholesterol in </w:t>
      </w:r>
      <w:r w:rsidR="00EC50A4" w:rsidRPr="003074E2">
        <w:rPr>
          <w:rFonts w:cs="Calibri"/>
        </w:rPr>
        <w:t>LDL</w:t>
      </w:r>
      <w:r w:rsidR="003920FB">
        <w:rPr>
          <w:rFonts w:cs="Calibri"/>
        </w:rPr>
        <w:t xml:space="preserve"> </w:t>
      </w:r>
      <w:r w:rsidR="006A3E25">
        <w:rPr>
          <w:rFonts w:cs="Calibri"/>
        </w:rPr>
        <w:t xml:space="preserve">and </w:t>
      </w:r>
      <w:r w:rsidR="000D1C47">
        <w:rPr>
          <w:rFonts w:cs="Calibri"/>
        </w:rPr>
        <w:t xml:space="preserve">in </w:t>
      </w:r>
      <w:r w:rsidR="00453648">
        <w:rPr>
          <w:rFonts w:cs="Calibri"/>
        </w:rPr>
        <w:t xml:space="preserve">remnant </w:t>
      </w:r>
      <w:r w:rsidR="000D1C47">
        <w:rPr>
          <w:rFonts w:cs="Calibri"/>
        </w:rPr>
        <w:t>TG-rich lipoproteins</w:t>
      </w:r>
      <w:r w:rsidR="00173214">
        <w:rPr>
          <w:rFonts w:cs="Calibri"/>
        </w:rPr>
        <w:t xml:space="preserve">), which </w:t>
      </w:r>
      <w:r>
        <w:rPr>
          <w:rFonts w:cs="Calibri"/>
        </w:rPr>
        <w:t>represent</w:t>
      </w:r>
      <w:r w:rsidR="00173214">
        <w:rPr>
          <w:rFonts w:cs="Calibri"/>
        </w:rPr>
        <w:t>s</w:t>
      </w:r>
      <w:r>
        <w:rPr>
          <w:rFonts w:cs="Calibri"/>
        </w:rPr>
        <w:t xml:space="preserve"> the total mass of cholesterol in circulating atherogenic lipoprotein particles</w:t>
      </w:r>
      <w:r w:rsidR="00B36720">
        <w:rPr>
          <w:rFonts w:cs="Calibri"/>
        </w:rPr>
        <w:t>.</w:t>
      </w:r>
      <w:r w:rsidR="00974266" w:rsidRPr="00997DBF">
        <w:rPr>
          <w:rFonts w:cs="Calibri"/>
          <w:vertAlign w:val="superscript"/>
        </w:rPr>
        <w:t>3,</w:t>
      </w:r>
      <w:r w:rsidR="00BC74DE">
        <w:rPr>
          <w:rFonts w:cs="Calibri"/>
          <w:vertAlign w:val="superscript"/>
        </w:rPr>
        <w:t>11,13,</w:t>
      </w:r>
      <w:r w:rsidR="006F6591" w:rsidRPr="00997DBF">
        <w:rPr>
          <w:rFonts w:cs="Calibri"/>
          <w:vertAlign w:val="superscript"/>
        </w:rPr>
        <w:t>14</w:t>
      </w:r>
      <w:r w:rsidR="002D1A79" w:rsidRPr="003074E2">
        <w:rPr>
          <w:rFonts w:cs="Calibri"/>
        </w:rPr>
        <w:t xml:space="preserve"> This </w:t>
      </w:r>
      <w:r w:rsidR="0099696F">
        <w:rPr>
          <w:rFonts w:cs="Calibri"/>
        </w:rPr>
        <w:t xml:space="preserve">variable </w:t>
      </w:r>
      <w:r>
        <w:rPr>
          <w:rFonts w:cs="Calibri"/>
        </w:rPr>
        <w:t>has been advocated</w:t>
      </w:r>
      <w:r w:rsidR="0099696F">
        <w:rPr>
          <w:rFonts w:cs="Calibri"/>
        </w:rPr>
        <w:t xml:space="preserve"> because</w:t>
      </w:r>
      <w:r w:rsidR="002D1A79" w:rsidRPr="003074E2">
        <w:rPr>
          <w:rFonts w:cs="Calibri"/>
        </w:rPr>
        <w:t xml:space="preserve"> </w:t>
      </w:r>
      <w:r w:rsidR="000D0148">
        <w:rPr>
          <w:rFonts w:cs="Calibri"/>
        </w:rPr>
        <w:t>LDL cholesterol cannot be estimated by the Friedewald equation when TG levels are &gt;4</w:t>
      </w:r>
      <w:r w:rsidR="00B12C96">
        <w:rPr>
          <w:rFonts w:cs="Calibri"/>
        </w:rPr>
        <w:t>·</w:t>
      </w:r>
      <w:r w:rsidR="000D0148">
        <w:rPr>
          <w:rFonts w:cs="Calibri"/>
        </w:rPr>
        <w:t xml:space="preserve">5 mmol/L; also </w:t>
      </w:r>
      <w:r w:rsidR="004D3E54">
        <w:rPr>
          <w:rFonts w:cs="Calibri"/>
        </w:rPr>
        <w:t>standardised,</w:t>
      </w:r>
      <w:r w:rsidR="007B1479">
        <w:rPr>
          <w:rFonts w:cs="Calibri"/>
        </w:rPr>
        <w:t xml:space="preserve"> </w:t>
      </w:r>
      <w:r w:rsidR="00801334">
        <w:rPr>
          <w:rFonts w:cs="Calibri"/>
        </w:rPr>
        <w:t xml:space="preserve">directly measured </w:t>
      </w:r>
      <w:r w:rsidR="002D1A79" w:rsidRPr="003074E2">
        <w:rPr>
          <w:rFonts w:cs="Calibri"/>
        </w:rPr>
        <w:t>LDL</w:t>
      </w:r>
      <w:r w:rsidR="00854E8C">
        <w:rPr>
          <w:rFonts w:cs="Calibri"/>
        </w:rPr>
        <w:t xml:space="preserve"> </w:t>
      </w:r>
      <w:r w:rsidR="002D1A79" w:rsidRPr="003074E2">
        <w:rPr>
          <w:rFonts w:cs="Calibri"/>
        </w:rPr>
        <w:t xml:space="preserve">cholesterol </w:t>
      </w:r>
      <w:r w:rsidR="00801334">
        <w:rPr>
          <w:rFonts w:cs="Calibri"/>
        </w:rPr>
        <w:t>is not routinely available in m</w:t>
      </w:r>
      <w:r w:rsidR="00816675">
        <w:rPr>
          <w:rFonts w:cs="Calibri"/>
        </w:rPr>
        <w:t>ost</w:t>
      </w:r>
      <w:r w:rsidR="00801334">
        <w:rPr>
          <w:rFonts w:cs="Calibri"/>
        </w:rPr>
        <w:t xml:space="preserve"> </w:t>
      </w:r>
      <w:r w:rsidR="00DA0A83">
        <w:rPr>
          <w:rFonts w:cs="Calibri"/>
        </w:rPr>
        <w:t>centres</w:t>
      </w:r>
      <w:r w:rsidR="000D0148">
        <w:rPr>
          <w:rFonts w:cs="Calibri"/>
        </w:rPr>
        <w:t>.</w:t>
      </w:r>
      <w:r w:rsidR="00C33AA8">
        <w:rPr>
          <w:rFonts w:cs="Calibri"/>
        </w:rPr>
        <w:t xml:space="preserve"> </w:t>
      </w:r>
      <w:r w:rsidR="002D1A79" w:rsidRPr="003074E2">
        <w:rPr>
          <w:rFonts w:cs="Calibri"/>
        </w:rPr>
        <w:t>The desirable level for non-HDL</w:t>
      </w:r>
      <w:r w:rsidR="00854E8C">
        <w:rPr>
          <w:rFonts w:cs="Calibri"/>
        </w:rPr>
        <w:t xml:space="preserve"> </w:t>
      </w:r>
      <w:r w:rsidR="00700999">
        <w:rPr>
          <w:rFonts w:cs="Calibri"/>
        </w:rPr>
        <w:t>cholesterol is &lt;2</w:t>
      </w:r>
      <w:r w:rsidR="00B12C96">
        <w:rPr>
          <w:rFonts w:cs="Calibri"/>
        </w:rPr>
        <w:t>·</w:t>
      </w:r>
      <w:r w:rsidR="00700999">
        <w:rPr>
          <w:rFonts w:cs="Calibri"/>
        </w:rPr>
        <w:t>6</w:t>
      </w:r>
      <w:r w:rsidR="002D1A79" w:rsidRPr="003074E2">
        <w:rPr>
          <w:rFonts w:cs="Calibri"/>
        </w:rPr>
        <w:t xml:space="preserve"> mmol/L (</w:t>
      </w:r>
      <w:r w:rsidR="00854E8C">
        <w:rPr>
          <w:rFonts w:cs="Calibri"/>
        </w:rPr>
        <w:t>&lt;</w:t>
      </w:r>
      <w:r w:rsidR="002D1A79" w:rsidRPr="003074E2">
        <w:rPr>
          <w:rFonts w:cs="Calibri"/>
        </w:rPr>
        <w:t>100 mg/dL)</w:t>
      </w:r>
      <w:r w:rsidR="00173214">
        <w:rPr>
          <w:rFonts w:cs="Calibri"/>
        </w:rPr>
        <w:t xml:space="preserve"> in high-risk individuals</w:t>
      </w:r>
      <w:r w:rsidR="002D1A79" w:rsidRPr="003074E2">
        <w:rPr>
          <w:rFonts w:cs="Calibri"/>
        </w:rPr>
        <w:t xml:space="preserve">, and </w:t>
      </w:r>
      <w:r>
        <w:rPr>
          <w:rFonts w:cs="Calibri"/>
        </w:rPr>
        <w:t>&lt;</w:t>
      </w:r>
      <w:r w:rsidR="002D1A79" w:rsidRPr="003074E2">
        <w:rPr>
          <w:rFonts w:cs="Calibri"/>
        </w:rPr>
        <w:t>3</w:t>
      </w:r>
      <w:r w:rsidR="00B12C96">
        <w:rPr>
          <w:rFonts w:cs="Calibri"/>
        </w:rPr>
        <w:t>·</w:t>
      </w:r>
      <w:r w:rsidR="005C15EF" w:rsidRPr="003074E2">
        <w:rPr>
          <w:rFonts w:cs="Calibri"/>
        </w:rPr>
        <w:t>4</w:t>
      </w:r>
      <w:r w:rsidR="005C15EF">
        <w:rPr>
          <w:rFonts w:cs="Calibri"/>
        </w:rPr>
        <w:t> </w:t>
      </w:r>
      <w:r w:rsidR="002D1A79" w:rsidRPr="003074E2">
        <w:rPr>
          <w:rFonts w:cs="Calibri"/>
        </w:rPr>
        <w:t>mmol/L (</w:t>
      </w:r>
      <w:r w:rsidR="00854E8C">
        <w:rPr>
          <w:rFonts w:cs="Calibri"/>
        </w:rPr>
        <w:t>&lt;</w:t>
      </w:r>
      <w:r w:rsidR="002D1A79" w:rsidRPr="003074E2">
        <w:rPr>
          <w:rFonts w:cs="Calibri"/>
        </w:rPr>
        <w:t xml:space="preserve">130 mg/dL) in </w:t>
      </w:r>
      <w:r w:rsidR="005C15EF" w:rsidRPr="003074E2">
        <w:rPr>
          <w:rFonts w:cs="Calibri"/>
        </w:rPr>
        <w:t>low</w:t>
      </w:r>
      <w:r w:rsidR="005C15EF">
        <w:rPr>
          <w:rFonts w:cs="Calibri"/>
        </w:rPr>
        <w:t>-</w:t>
      </w:r>
      <w:r w:rsidR="002D1A79" w:rsidRPr="003074E2">
        <w:rPr>
          <w:rFonts w:cs="Calibri"/>
        </w:rPr>
        <w:t xml:space="preserve">risk </w:t>
      </w:r>
      <w:r w:rsidR="003074E2">
        <w:rPr>
          <w:rFonts w:cs="Calibri"/>
        </w:rPr>
        <w:t>individual</w:t>
      </w:r>
      <w:r w:rsidR="002D1A79" w:rsidRPr="003074E2">
        <w:rPr>
          <w:rFonts w:cs="Calibri"/>
        </w:rPr>
        <w:t>s</w:t>
      </w:r>
      <w:r w:rsidR="00BA7AE2">
        <w:rPr>
          <w:rFonts w:cs="Calibri"/>
        </w:rPr>
        <w:t>.</w:t>
      </w:r>
      <w:r>
        <w:rPr>
          <w:rFonts w:cs="Calibri"/>
        </w:rPr>
        <w:t xml:space="preserve"> A</w:t>
      </w:r>
      <w:r w:rsidR="002D1A79" w:rsidRPr="003074E2">
        <w:rPr>
          <w:rFonts w:cs="Calibri"/>
        </w:rPr>
        <w:t xml:space="preserve">gain, there is insufficient </w:t>
      </w:r>
      <w:r w:rsidR="00700999">
        <w:rPr>
          <w:rFonts w:cs="Calibri"/>
        </w:rPr>
        <w:t xml:space="preserve">high-grade </w:t>
      </w:r>
      <w:r w:rsidR="002D1A79" w:rsidRPr="003074E2">
        <w:rPr>
          <w:rFonts w:cs="Calibri"/>
        </w:rPr>
        <w:t>evidence to define specific targets</w:t>
      </w:r>
      <w:r w:rsidR="00801334">
        <w:rPr>
          <w:rFonts w:cs="Calibri"/>
        </w:rPr>
        <w:t xml:space="preserve"> for any of these alternative variables</w:t>
      </w:r>
      <w:r>
        <w:rPr>
          <w:rFonts w:cs="Calibri"/>
        </w:rPr>
        <w:t>, and t</w:t>
      </w:r>
      <w:r w:rsidR="002D1A79" w:rsidRPr="003074E2">
        <w:rPr>
          <w:rFonts w:cs="Calibri"/>
        </w:rPr>
        <w:t>reatment should be individually tailored</w:t>
      </w:r>
      <w:r w:rsidR="00B36720">
        <w:rPr>
          <w:rFonts w:cs="Calibri"/>
        </w:rPr>
        <w:t>.</w:t>
      </w:r>
      <w:r w:rsidR="002D1A79" w:rsidRPr="00997DBF">
        <w:rPr>
          <w:rFonts w:cs="Calibri"/>
          <w:vertAlign w:val="superscript"/>
        </w:rPr>
        <w:t>3,</w:t>
      </w:r>
      <w:r w:rsidR="00A57D0A" w:rsidRPr="00997DBF">
        <w:rPr>
          <w:rFonts w:cs="Calibri"/>
          <w:vertAlign w:val="superscript"/>
        </w:rPr>
        <w:t>6,7</w:t>
      </w:r>
    </w:p>
    <w:p w:rsidR="002D1A79" w:rsidRDefault="002D1A79" w:rsidP="00A70A16">
      <w:pPr>
        <w:spacing w:after="0"/>
        <w:rPr>
          <w:rFonts w:cs="Calibri"/>
        </w:rPr>
      </w:pPr>
      <w:r w:rsidRPr="003074E2">
        <w:rPr>
          <w:rFonts w:cs="Calibri"/>
        </w:rPr>
        <w:t xml:space="preserve">An alternative </w:t>
      </w:r>
      <w:r w:rsidR="00BA4946">
        <w:rPr>
          <w:rFonts w:cs="Calibri"/>
        </w:rPr>
        <w:t xml:space="preserve">estimation of atherogenic lipoprotein levels </w:t>
      </w:r>
      <w:r w:rsidRPr="003074E2">
        <w:rPr>
          <w:rFonts w:cs="Calibri"/>
        </w:rPr>
        <w:t xml:space="preserve">uses apoB as </w:t>
      </w:r>
      <w:r w:rsidR="00173214">
        <w:rPr>
          <w:rFonts w:cs="Calibri"/>
        </w:rPr>
        <w:t xml:space="preserve">a </w:t>
      </w:r>
      <w:r w:rsidRPr="003074E2">
        <w:rPr>
          <w:rFonts w:cs="Calibri"/>
        </w:rPr>
        <w:t>substitute for non-HDL</w:t>
      </w:r>
      <w:r w:rsidR="00854E8C">
        <w:rPr>
          <w:rFonts w:cs="Calibri"/>
        </w:rPr>
        <w:t xml:space="preserve"> </w:t>
      </w:r>
      <w:r w:rsidRPr="003074E2">
        <w:rPr>
          <w:rFonts w:cs="Calibri"/>
        </w:rPr>
        <w:t xml:space="preserve">cholesterol. ApoB represents the total number of atherogenic apoB-containing lipoprotein particles, and </w:t>
      </w:r>
      <w:r w:rsidR="00C33AA8">
        <w:rPr>
          <w:rFonts w:cs="Calibri"/>
        </w:rPr>
        <w:t>predicts</w:t>
      </w:r>
      <w:r w:rsidRPr="003074E2">
        <w:rPr>
          <w:rFonts w:cs="Calibri"/>
        </w:rPr>
        <w:t xml:space="preserve"> CVD</w:t>
      </w:r>
      <w:r w:rsidR="00974266">
        <w:rPr>
          <w:rFonts w:cs="Calibri"/>
        </w:rPr>
        <w:t xml:space="preserve"> risk </w:t>
      </w:r>
      <w:r w:rsidR="00C33AA8">
        <w:rPr>
          <w:rFonts w:cs="Calibri"/>
        </w:rPr>
        <w:t xml:space="preserve">at least as well </w:t>
      </w:r>
      <w:r w:rsidR="00974266">
        <w:rPr>
          <w:rFonts w:cs="Calibri"/>
        </w:rPr>
        <w:t>as non-HDL</w:t>
      </w:r>
      <w:r w:rsidR="00854E8C">
        <w:rPr>
          <w:rFonts w:cs="Calibri"/>
        </w:rPr>
        <w:t xml:space="preserve"> </w:t>
      </w:r>
      <w:r w:rsidR="00974266">
        <w:rPr>
          <w:rFonts w:cs="Calibri"/>
        </w:rPr>
        <w:t>cholesterol</w:t>
      </w:r>
      <w:r w:rsidR="00B36720">
        <w:rPr>
          <w:rFonts w:cs="Calibri"/>
        </w:rPr>
        <w:t>.</w:t>
      </w:r>
      <w:r w:rsidR="00A57D0A" w:rsidRPr="00997DBF">
        <w:rPr>
          <w:rFonts w:cs="Calibri"/>
          <w:vertAlign w:val="superscript"/>
        </w:rPr>
        <w:t>6,7</w:t>
      </w:r>
      <w:r w:rsidR="00CB09CD">
        <w:rPr>
          <w:rFonts w:cs="Calibri"/>
        </w:rPr>
        <w:t xml:space="preserve"> ApoB is</w:t>
      </w:r>
      <w:r w:rsidRPr="003074E2">
        <w:rPr>
          <w:rFonts w:cs="Calibri"/>
        </w:rPr>
        <w:t xml:space="preserve"> </w:t>
      </w:r>
      <w:r w:rsidR="00F148EE">
        <w:rPr>
          <w:rFonts w:cs="Calibri"/>
        </w:rPr>
        <w:t>rel</w:t>
      </w:r>
      <w:r w:rsidRPr="003074E2">
        <w:rPr>
          <w:rFonts w:cs="Calibri"/>
        </w:rPr>
        <w:t>i</w:t>
      </w:r>
      <w:r w:rsidR="00F148EE">
        <w:rPr>
          <w:rFonts w:cs="Calibri"/>
        </w:rPr>
        <w:t>ab</w:t>
      </w:r>
      <w:r w:rsidRPr="003074E2">
        <w:rPr>
          <w:rFonts w:cs="Calibri"/>
        </w:rPr>
        <w:t xml:space="preserve">ly measured in the presence of HTG and under </w:t>
      </w:r>
      <w:r w:rsidR="00E22506">
        <w:rPr>
          <w:rFonts w:cs="Calibri"/>
        </w:rPr>
        <w:t>nonfasting</w:t>
      </w:r>
      <w:r w:rsidRPr="003074E2">
        <w:rPr>
          <w:rFonts w:cs="Calibri"/>
        </w:rPr>
        <w:t xml:space="preserve"> conditions. Some </w:t>
      </w:r>
      <w:r w:rsidR="00173214">
        <w:rPr>
          <w:rFonts w:cs="Calibri"/>
        </w:rPr>
        <w:t>e</w:t>
      </w:r>
      <w:r w:rsidRPr="003074E2">
        <w:rPr>
          <w:rFonts w:cs="Calibri"/>
        </w:rPr>
        <w:t xml:space="preserve">xpert </w:t>
      </w:r>
      <w:r w:rsidR="00173214">
        <w:rPr>
          <w:rFonts w:cs="Calibri"/>
        </w:rPr>
        <w:t>p</w:t>
      </w:r>
      <w:r w:rsidRPr="003074E2">
        <w:rPr>
          <w:rFonts w:cs="Calibri"/>
        </w:rPr>
        <w:t>anels</w:t>
      </w:r>
      <w:r w:rsidR="0099696F">
        <w:rPr>
          <w:rFonts w:cs="Calibri"/>
        </w:rPr>
        <w:t xml:space="preserve"> </w:t>
      </w:r>
      <w:r w:rsidRPr="003074E2">
        <w:rPr>
          <w:rFonts w:cs="Calibri"/>
        </w:rPr>
        <w:t xml:space="preserve">have therefore recommended apoB as secondary target in </w:t>
      </w:r>
      <w:r w:rsidR="003074E2">
        <w:rPr>
          <w:rFonts w:cs="Calibri"/>
        </w:rPr>
        <w:t>individual</w:t>
      </w:r>
      <w:r w:rsidR="00A57D0A">
        <w:rPr>
          <w:rFonts w:cs="Calibri"/>
        </w:rPr>
        <w:t>s with HTG</w:t>
      </w:r>
      <w:r w:rsidR="00B36720">
        <w:rPr>
          <w:rFonts w:cs="Calibri"/>
        </w:rPr>
        <w:t>.</w:t>
      </w:r>
      <w:r w:rsidR="0099696F" w:rsidRPr="00997DBF">
        <w:rPr>
          <w:rFonts w:cs="Calibri"/>
          <w:vertAlign w:val="superscript"/>
        </w:rPr>
        <w:t>3,6,7,4</w:t>
      </w:r>
      <w:r w:rsidR="00BC74DE">
        <w:rPr>
          <w:rFonts w:cs="Calibri"/>
          <w:vertAlign w:val="superscript"/>
        </w:rPr>
        <w:t>5</w:t>
      </w:r>
      <w:r w:rsidRPr="003074E2">
        <w:rPr>
          <w:rFonts w:cs="Calibri"/>
        </w:rPr>
        <w:t xml:space="preserve"> A</w:t>
      </w:r>
      <w:r w:rsidR="00CB09CD">
        <w:rPr>
          <w:rFonts w:cs="Calibri"/>
        </w:rPr>
        <w:t>ccordingly, a</w:t>
      </w:r>
      <w:r w:rsidRPr="003074E2">
        <w:rPr>
          <w:rFonts w:cs="Calibri"/>
        </w:rPr>
        <w:t>poB &gt;1</w:t>
      </w:r>
      <w:r w:rsidR="00B12C96">
        <w:rPr>
          <w:rFonts w:cs="Calibri"/>
        </w:rPr>
        <w:t>·</w:t>
      </w:r>
      <w:r w:rsidRPr="003074E2">
        <w:rPr>
          <w:rFonts w:cs="Calibri"/>
        </w:rPr>
        <w:t>2</w:t>
      </w:r>
      <w:r w:rsidR="00CB09CD">
        <w:rPr>
          <w:rFonts w:cs="Calibri"/>
        </w:rPr>
        <w:t xml:space="preserve"> </w:t>
      </w:r>
      <w:r w:rsidRPr="003074E2">
        <w:rPr>
          <w:rFonts w:cs="Calibri"/>
        </w:rPr>
        <w:t>g/</w:t>
      </w:r>
      <w:r w:rsidR="00CB09CD">
        <w:rPr>
          <w:rFonts w:cs="Calibri"/>
        </w:rPr>
        <w:t>L</w:t>
      </w:r>
      <w:r w:rsidRPr="003074E2">
        <w:rPr>
          <w:rFonts w:cs="Calibri"/>
        </w:rPr>
        <w:t xml:space="preserve"> identifies </w:t>
      </w:r>
      <w:r w:rsidR="003074E2">
        <w:rPr>
          <w:rFonts w:cs="Calibri"/>
        </w:rPr>
        <w:t>individual</w:t>
      </w:r>
      <w:r w:rsidRPr="003074E2">
        <w:rPr>
          <w:rFonts w:cs="Calibri"/>
        </w:rPr>
        <w:t>s at high CVD risk</w:t>
      </w:r>
      <w:r w:rsidR="00F603DE">
        <w:rPr>
          <w:rFonts w:cs="Calibri"/>
        </w:rPr>
        <w:t>,</w:t>
      </w:r>
      <w:r w:rsidRPr="003074E2">
        <w:rPr>
          <w:rFonts w:cs="Calibri"/>
        </w:rPr>
        <w:t xml:space="preserve"> and the desirable level </w:t>
      </w:r>
      <w:r w:rsidR="00C33AA8">
        <w:rPr>
          <w:rFonts w:cs="Calibri"/>
        </w:rPr>
        <w:t>of</w:t>
      </w:r>
      <w:r w:rsidRPr="003074E2">
        <w:rPr>
          <w:rFonts w:cs="Calibri"/>
        </w:rPr>
        <w:t xml:space="preserve"> &lt;</w:t>
      </w:r>
      <w:r w:rsidR="00CB09CD">
        <w:rPr>
          <w:rFonts w:cs="Calibri"/>
        </w:rPr>
        <w:t>0</w:t>
      </w:r>
      <w:r w:rsidR="00B12C96">
        <w:rPr>
          <w:rFonts w:cs="Calibri"/>
        </w:rPr>
        <w:t>·</w:t>
      </w:r>
      <w:r w:rsidR="00CB09CD">
        <w:rPr>
          <w:rFonts w:cs="Calibri"/>
        </w:rPr>
        <w:t xml:space="preserve">8 </w:t>
      </w:r>
      <w:r w:rsidRPr="003074E2">
        <w:rPr>
          <w:rFonts w:cs="Calibri"/>
        </w:rPr>
        <w:t>g/L correspond</w:t>
      </w:r>
      <w:r w:rsidR="00C33AA8">
        <w:rPr>
          <w:rFonts w:cs="Calibri"/>
        </w:rPr>
        <w:t>s</w:t>
      </w:r>
      <w:r w:rsidRPr="003074E2">
        <w:rPr>
          <w:rFonts w:cs="Calibri"/>
        </w:rPr>
        <w:t xml:space="preserve"> to a non-HDL</w:t>
      </w:r>
      <w:r w:rsidR="00854E8C">
        <w:rPr>
          <w:rFonts w:cs="Calibri"/>
        </w:rPr>
        <w:t xml:space="preserve"> </w:t>
      </w:r>
      <w:r w:rsidRPr="003074E2">
        <w:rPr>
          <w:rFonts w:cs="Calibri"/>
        </w:rPr>
        <w:t>cholesterol &lt;3</w:t>
      </w:r>
      <w:r w:rsidR="00B12C96">
        <w:rPr>
          <w:rFonts w:cs="Calibri"/>
        </w:rPr>
        <w:t>·</w:t>
      </w:r>
      <w:r w:rsidRPr="003074E2">
        <w:rPr>
          <w:rFonts w:cs="Calibri"/>
        </w:rPr>
        <w:t>4 mmol/L (&lt;130 mg/dL)</w:t>
      </w:r>
      <w:r w:rsidR="00B36720">
        <w:rPr>
          <w:rFonts w:cs="Calibri"/>
        </w:rPr>
        <w:t>.</w:t>
      </w:r>
      <w:r w:rsidR="00816675" w:rsidRPr="00997DBF">
        <w:rPr>
          <w:rFonts w:cs="Calibri"/>
          <w:vertAlign w:val="superscript"/>
        </w:rPr>
        <w:t>3,6,7</w:t>
      </w:r>
      <w:r w:rsidRPr="003074E2">
        <w:rPr>
          <w:rFonts w:cs="Calibri"/>
        </w:rPr>
        <w:t xml:space="preserve"> For </w:t>
      </w:r>
      <w:r w:rsidR="003074E2">
        <w:rPr>
          <w:rFonts w:cs="Calibri"/>
        </w:rPr>
        <w:t>individual</w:t>
      </w:r>
      <w:r w:rsidRPr="003074E2">
        <w:rPr>
          <w:rFonts w:cs="Calibri"/>
        </w:rPr>
        <w:t>s at very high risk, an apoB target &lt;</w:t>
      </w:r>
      <w:r w:rsidR="00CB09CD">
        <w:rPr>
          <w:rFonts w:cs="Calibri"/>
        </w:rPr>
        <w:t>0</w:t>
      </w:r>
      <w:r w:rsidR="00B12C96">
        <w:rPr>
          <w:rFonts w:cs="Calibri"/>
        </w:rPr>
        <w:t>·</w:t>
      </w:r>
      <w:r w:rsidR="00CB09CD">
        <w:rPr>
          <w:rFonts w:cs="Calibri"/>
        </w:rPr>
        <w:t>7</w:t>
      </w:r>
      <w:r w:rsidR="00BA4946">
        <w:rPr>
          <w:rFonts w:cs="Calibri"/>
        </w:rPr>
        <w:t xml:space="preserve"> </w:t>
      </w:r>
      <w:r w:rsidRPr="003074E2">
        <w:rPr>
          <w:rFonts w:cs="Calibri"/>
        </w:rPr>
        <w:t xml:space="preserve">g/L </w:t>
      </w:r>
      <w:r w:rsidR="00C33AA8">
        <w:rPr>
          <w:rFonts w:cs="Calibri"/>
        </w:rPr>
        <w:t>may be appropriate</w:t>
      </w:r>
      <w:r w:rsidRPr="003074E2">
        <w:rPr>
          <w:rFonts w:cs="Calibri"/>
        </w:rPr>
        <w:t>, corresponding to a non-HDL</w:t>
      </w:r>
      <w:r w:rsidR="00854E8C">
        <w:rPr>
          <w:rFonts w:cs="Calibri"/>
        </w:rPr>
        <w:t xml:space="preserve"> </w:t>
      </w:r>
      <w:r w:rsidRPr="003074E2">
        <w:rPr>
          <w:rFonts w:cs="Calibri"/>
        </w:rPr>
        <w:t>cholesterol &lt;2</w:t>
      </w:r>
      <w:r w:rsidR="00B12C96">
        <w:rPr>
          <w:rFonts w:cs="Calibri"/>
        </w:rPr>
        <w:t>·</w:t>
      </w:r>
      <w:r w:rsidR="00562259">
        <w:rPr>
          <w:rFonts w:cs="Calibri"/>
        </w:rPr>
        <w:t>6</w:t>
      </w:r>
      <w:r w:rsidRPr="003074E2">
        <w:rPr>
          <w:rFonts w:cs="Calibri"/>
        </w:rPr>
        <w:t xml:space="preserve"> mmol/L (100 mg/dL)</w:t>
      </w:r>
      <w:r w:rsidR="00ED00FF">
        <w:rPr>
          <w:rFonts w:cs="Calibri"/>
        </w:rPr>
        <w:t>.</w:t>
      </w:r>
      <w:r w:rsidR="00A57D0A" w:rsidRPr="00BE2963">
        <w:rPr>
          <w:rFonts w:cs="Calibri"/>
          <w:vertAlign w:val="superscript"/>
        </w:rPr>
        <w:t>3,6,7</w:t>
      </w:r>
      <w:r w:rsidRPr="003074E2">
        <w:rPr>
          <w:rFonts w:cs="Calibri"/>
        </w:rPr>
        <w:t xml:space="preserve"> </w:t>
      </w:r>
      <w:r w:rsidR="00173214">
        <w:rPr>
          <w:rFonts w:cs="Calibri"/>
        </w:rPr>
        <w:t>Desirable levels</w:t>
      </w:r>
      <w:r w:rsidRPr="003074E2">
        <w:rPr>
          <w:rFonts w:cs="Calibri"/>
        </w:rPr>
        <w:t xml:space="preserve"> for TG, non-HDL</w:t>
      </w:r>
      <w:r w:rsidR="00854E8C">
        <w:rPr>
          <w:rFonts w:cs="Calibri"/>
        </w:rPr>
        <w:t xml:space="preserve"> </w:t>
      </w:r>
      <w:r w:rsidRPr="003074E2">
        <w:rPr>
          <w:rFonts w:cs="Calibri"/>
        </w:rPr>
        <w:t xml:space="preserve">cholesterol and apoB are </w:t>
      </w:r>
      <w:r w:rsidR="007B1479" w:rsidRPr="003074E2">
        <w:rPr>
          <w:rFonts w:cs="Calibri"/>
        </w:rPr>
        <w:t>summari</w:t>
      </w:r>
      <w:r w:rsidR="007B1479">
        <w:rPr>
          <w:rFonts w:cs="Calibri"/>
        </w:rPr>
        <w:t>s</w:t>
      </w:r>
      <w:r w:rsidR="007B1479" w:rsidRPr="003074E2">
        <w:rPr>
          <w:rFonts w:cs="Calibri"/>
        </w:rPr>
        <w:t xml:space="preserve">ed </w:t>
      </w:r>
      <w:r w:rsidRPr="003074E2">
        <w:rPr>
          <w:rFonts w:cs="Calibri"/>
        </w:rPr>
        <w:t xml:space="preserve">in </w:t>
      </w:r>
      <w:r w:rsidR="00651E34">
        <w:rPr>
          <w:rFonts w:cs="Calibri"/>
          <w:b/>
        </w:rPr>
        <w:t xml:space="preserve">Panel </w:t>
      </w:r>
      <w:r w:rsidR="00896E71" w:rsidRPr="00896E71">
        <w:rPr>
          <w:rFonts w:cs="Calibri"/>
          <w:b/>
        </w:rPr>
        <w:t>3</w:t>
      </w:r>
      <w:r w:rsidRPr="003074E2">
        <w:rPr>
          <w:rFonts w:cs="Calibri"/>
        </w:rPr>
        <w:t>.</w:t>
      </w:r>
    </w:p>
    <w:p w:rsidR="00896E71" w:rsidRDefault="00896E71" w:rsidP="00A70A16">
      <w:pPr>
        <w:spacing w:after="0"/>
        <w:rPr>
          <w:rFonts w:cs="Calibri"/>
        </w:rPr>
      </w:pPr>
    </w:p>
    <w:p w:rsidR="00BF57A9" w:rsidRDefault="00BF57A9">
      <w:pPr>
        <w:spacing w:after="0" w:line="240" w:lineRule="auto"/>
        <w:rPr>
          <w:rFonts w:cs="Calibri"/>
          <w:b/>
          <w:bCs/>
          <w:color w:val="C00000"/>
        </w:rPr>
        <w:sectPr w:rsidR="00BF57A9" w:rsidSect="00BF57A9">
          <w:type w:val="continuous"/>
          <w:pgSz w:w="12240" w:h="15840"/>
          <w:pgMar w:top="1440" w:right="1440" w:bottom="1440" w:left="1440" w:header="708" w:footer="708" w:gutter="0"/>
          <w:cols w:num="2" w:space="708"/>
          <w:docGrid w:linePitch="360"/>
        </w:sectPr>
      </w:pPr>
    </w:p>
    <w:p w:rsidR="009A5415" w:rsidRDefault="009A5415">
      <w:pPr>
        <w:spacing w:after="0" w:line="240" w:lineRule="auto"/>
        <w:rPr>
          <w:rFonts w:cs="Calibri"/>
          <w:b/>
          <w:bCs/>
          <w:color w:val="C00000"/>
        </w:rPr>
      </w:pPr>
      <w:r>
        <w:rPr>
          <w:rFonts w:cs="Calibri"/>
          <w:b/>
          <w:bCs/>
          <w:color w:val="C00000"/>
        </w:rPr>
        <w:lastRenderedPageBreak/>
        <w:br w:type="page"/>
      </w:r>
    </w:p>
    <w:p w:rsidR="00896E71" w:rsidRPr="00896E71" w:rsidRDefault="00BF57A9" w:rsidP="00BF57A9">
      <w:pPr>
        <w:spacing w:after="0"/>
        <w:jc w:val="center"/>
        <w:rPr>
          <w:rFonts w:cs="Calibri"/>
          <w:b/>
          <w:bCs/>
          <w:color w:val="C00000"/>
        </w:rPr>
      </w:pPr>
      <w:r>
        <w:rPr>
          <w:rFonts w:cs="Calibri"/>
          <w:b/>
          <w:bCs/>
          <w:color w:val="C00000"/>
        </w:rPr>
        <w:lastRenderedPageBreak/>
        <w:t>Panel</w:t>
      </w:r>
      <w:r w:rsidR="00896E71" w:rsidRPr="00896E71">
        <w:rPr>
          <w:rFonts w:cs="Calibri"/>
          <w:b/>
          <w:bCs/>
          <w:color w:val="C00000"/>
        </w:rPr>
        <w:t xml:space="preserve"> 3. Desirable levels of lipids and apolipoprotein B in patients at high risk of CVD</w:t>
      </w:r>
    </w:p>
    <w:tbl>
      <w:tblPr>
        <w:tblStyle w:val="Tabellrutenett"/>
        <w:tblW w:w="0" w:type="auto"/>
        <w:tblInd w:w="817" w:type="dxa"/>
        <w:tblBorders>
          <w:insideH w:val="none" w:sz="0" w:space="0" w:color="auto"/>
          <w:insideV w:val="none" w:sz="0" w:space="0" w:color="auto"/>
        </w:tblBorders>
        <w:shd w:val="clear" w:color="auto" w:fill="F8ECEC"/>
        <w:tblLook w:val="04A0"/>
      </w:tblPr>
      <w:tblGrid>
        <w:gridCol w:w="2126"/>
        <w:gridCol w:w="4111"/>
      </w:tblGrid>
      <w:tr w:rsidR="00896E71" w:rsidRPr="00896E71" w:rsidTr="006D52E0">
        <w:tc>
          <w:tcPr>
            <w:tcW w:w="2126" w:type="dxa"/>
            <w:shd w:val="clear" w:color="auto" w:fill="F8ECEC"/>
          </w:tcPr>
          <w:p w:rsidR="00896E71" w:rsidRPr="00896E71" w:rsidRDefault="00896E71" w:rsidP="00896E71">
            <w:pPr>
              <w:spacing w:after="0"/>
              <w:rPr>
                <w:rFonts w:cs="Calibri"/>
                <w:b/>
                <w:color w:val="C00000"/>
                <w:lang w:val="en-US" w:eastAsia="en-US"/>
              </w:rPr>
            </w:pPr>
            <w:r w:rsidRPr="00896E71">
              <w:rPr>
                <w:rFonts w:cs="Calibri"/>
                <w:b/>
                <w:color w:val="C00000"/>
                <w:lang w:val="en-US" w:eastAsia="en-US"/>
              </w:rPr>
              <w:t>Triglycerides</w:t>
            </w:r>
          </w:p>
        </w:tc>
        <w:tc>
          <w:tcPr>
            <w:tcW w:w="4111" w:type="dxa"/>
            <w:shd w:val="clear" w:color="auto" w:fill="F8ECEC"/>
          </w:tcPr>
          <w:p w:rsidR="00896E71" w:rsidRDefault="00896E71" w:rsidP="00896E71">
            <w:pPr>
              <w:spacing w:after="0"/>
              <w:rPr>
                <w:rFonts w:cs="Calibri"/>
                <w:b/>
                <w:color w:val="C00000"/>
                <w:lang w:val="en-US" w:eastAsia="en-US"/>
              </w:rPr>
            </w:pPr>
            <w:r w:rsidRPr="00896E71">
              <w:rPr>
                <w:rFonts w:cs="Calibri"/>
                <w:b/>
                <w:color w:val="C00000"/>
                <w:lang w:val="en-US" w:eastAsia="en-US"/>
              </w:rPr>
              <w:t>&lt;1·7 mmol/L (150 mg/dL)</w:t>
            </w:r>
          </w:p>
          <w:p w:rsidR="00896E71" w:rsidRPr="00896E71" w:rsidRDefault="00896E71" w:rsidP="00896E71">
            <w:pPr>
              <w:spacing w:after="0"/>
              <w:rPr>
                <w:rFonts w:cs="Calibri"/>
                <w:b/>
                <w:color w:val="C00000"/>
                <w:lang w:val="en-US" w:eastAsia="en-US"/>
              </w:rPr>
            </w:pPr>
          </w:p>
        </w:tc>
      </w:tr>
      <w:tr w:rsidR="00896E71" w:rsidRPr="00896E71" w:rsidTr="006D52E0">
        <w:tc>
          <w:tcPr>
            <w:tcW w:w="2126" w:type="dxa"/>
            <w:shd w:val="clear" w:color="auto" w:fill="F8ECEC"/>
          </w:tcPr>
          <w:p w:rsidR="00896E71" w:rsidRPr="00896E71" w:rsidRDefault="00896E71" w:rsidP="00896E71">
            <w:pPr>
              <w:spacing w:after="0"/>
              <w:rPr>
                <w:rFonts w:cs="Calibri"/>
                <w:b/>
                <w:color w:val="C00000"/>
                <w:lang w:val="en-US" w:eastAsia="en-US"/>
              </w:rPr>
            </w:pPr>
            <w:r w:rsidRPr="00896E71">
              <w:rPr>
                <w:rFonts w:cs="Calibri"/>
                <w:b/>
                <w:color w:val="C00000"/>
                <w:lang w:val="it-IT" w:eastAsia="en-US"/>
              </w:rPr>
              <w:t>Non-HDL cholesterol</w:t>
            </w:r>
          </w:p>
        </w:tc>
        <w:tc>
          <w:tcPr>
            <w:tcW w:w="4111" w:type="dxa"/>
            <w:shd w:val="clear" w:color="auto" w:fill="F8ECEC"/>
          </w:tcPr>
          <w:p w:rsidR="00896E71" w:rsidRDefault="00896E71" w:rsidP="00896E71">
            <w:pPr>
              <w:spacing w:after="0"/>
              <w:rPr>
                <w:rFonts w:cs="Calibri"/>
                <w:b/>
                <w:color w:val="C00000"/>
                <w:lang w:val="it-IT" w:eastAsia="en-US"/>
              </w:rPr>
            </w:pPr>
            <w:r w:rsidRPr="00896E71">
              <w:rPr>
                <w:rFonts w:cs="Calibri"/>
                <w:b/>
                <w:color w:val="C00000"/>
                <w:lang w:val="it-IT" w:eastAsia="en-US"/>
              </w:rPr>
              <w:t>&lt;2·6 mmol/L (100 mg/dL)</w:t>
            </w:r>
          </w:p>
          <w:p w:rsidR="00896E71" w:rsidRPr="00896E71" w:rsidRDefault="00896E71" w:rsidP="00896E71">
            <w:pPr>
              <w:spacing w:after="0"/>
              <w:rPr>
                <w:rFonts w:cs="Calibri"/>
                <w:b/>
                <w:color w:val="C00000"/>
                <w:lang w:val="en-US" w:eastAsia="en-US"/>
              </w:rPr>
            </w:pPr>
          </w:p>
        </w:tc>
      </w:tr>
      <w:tr w:rsidR="00896E71" w:rsidRPr="00896E71" w:rsidTr="006D52E0">
        <w:tc>
          <w:tcPr>
            <w:tcW w:w="2126" w:type="dxa"/>
            <w:shd w:val="clear" w:color="auto" w:fill="F8ECEC"/>
          </w:tcPr>
          <w:p w:rsidR="00896E71" w:rsidRPr="00896E71" w:rsidRDefault="00896E71" w:rsidP="00896E71">
            <w:pPr>
              <w:spacing w:after="0"/>
              <w:rPr>
                <w:rFonts w:cs="Calibri"/>
                <w:b/>
                <w:color w:val="C00000"/>
                <w:lang w:val="it-IT" w:eastAsia="en-US"/>
              </w:rPr>
            </w:pPr>
            <w:r w:rsidRPr="00896E71">
              <w:rPr>
                <w:rFonts w:cs="Calibri"/>
                <w:b/>
                <w:color w:val="C00000"/>
                <w:lang w:val="it-IT" w:eastAsia="en-US"/>
              </w:rPr>
              <w:t>Apolipoprotein B</w:t>
            </w:r>
          </w:p>
        </w:tc>
        <w:tc>
          <w:tcPr>
            <w:tcW w:w="4111" w:type="dxa"/>
            <w:shd w:val="clear" w:color="auto" w:fill="F8ECEC"/>
          </w:tcPr>
          <w:p w:rsidR="00896E71" w:rsidRPr="00896E71" w:rsidRDefault="00896E71" w:rsidP="00896E71">
            <w:pPr>
              <w:spacing w:after="0"/>
              <w:rPr>
                <w:rFonts w:cs="Calibri"/>
                <w:b/>
                <w:color w:val="C00000"/>
                <w:lang w:val="en-US" w:eastAsia="en-US"/>
              </w:rPr>
            </w:pPr>
            <w:r w:rsidRPr="00896E71">
              <w:rPr>
                <w:rFonts w:cs="Calibri"/>
                <w:b/>
                <w:color w:val="C00000"/>
                <w:lang w:val="en-US" w:eastAsia="en-US"/>
              </w:rPr>
              <w:t>&lt;0·8 g/L in high-risk</w:t>
            </w:r>
          </w:p>
          <w:p w:rsidR="00896E71" w:rsidRPr="00896E71" w:rsidRDefault="00896E71" w:rsidP="00896E71">
            <w:pPr>
              <w:spacing w:after="0"/>
              <w:rPr>
                <w:rFonts w:cs="Calibri"/>
                <w:b/>
                <w:color w:val="C00000"/>
                <w:lang w:val="it-IT" w:eastAsia="en-US"/>
              </w:rPr>
            </w:pPr>
            <w:r w:rsidRPr="00896E71">
              <w:rPr>
                <w:rFonts w:cs="Calibri"/>
                <w:b/>
                <w:color w:val="C00000"/>
                <w:lang w:val="en-US" w:eastAsia="en-US"/>
              </w:rPr>
              <w:t>&lt;0·7 g/L in very high-risk</w:t>
            </w:r>
          </w:p>
        </w:tc>
      </w:tr>
    </w:tbl>
    <w:p w:rsidR="00896E71" w:rsidRPr="00896E71" w:rsidRDefault="00896E71" w:rsidP="00896E71">
      <w:pPr>
        <w:spacing w:after="0"/>
        <w:rPr>
          <w:rFonts w:cs="Calibri"/>
        </w:rPr>
      </w:pPr>
    </w:p>
    <w:p w:rsidR="00BF57A9" w:rsidRDefault="00BF57A9" w:rsidP="00A70A16">
      <w:pPr>
        <w:spacing w:after="0"/>
        <w:rPr>
          <w:rFonts w:cs="Calibri"/>
          <w:b/>
          <w:color w:val="C00000"/>
          <w:sz w:val="24"/>
          <w:szCs w:val="24"/>
        </w:rPr>
        <w:sectPr w:rsidR="00BF57A9" w:rsidSect="00A25FE8">
          <w:type w:val="continuous"/>
          <w:pgSz w:w="12240" w:h="15840"/>
          <w:pgMar w:top="1440" w:right="1440" w:bottom="1440" w:left="1440" w:header="708" w:footer="708" w:gutter="0"/>
          <w:cols w:space="708"/>
          <w:docGrid w:linePitch="360"/>
        </w:sectPr>
      </w:pPr>
    </w:p>
    <w:p w:rsidR="002D1A79" w:rsidRPr="00896E71" w:rsidRDefault="002D1A79" w:rsidP="00A70A16">
      <w:pPr>
        <w:spacing w:after="0"/>
        <w:rPr>
          <w:rFonts w:cs="Calibri"/>
          <w:b/>
          <w:color w:val="C00000"/>
          <w:sz w:val="24"/>
          <w:szCs w:val="24"/>
        </w:rPr>
      </w:pPr>
      <w:r w:rsidRPr="00896E71">
        <w:rPr>
          <w:rFonts w:cs="Calibri"/>
          <w:b/>
          <w:color w:val="C00000"/>
          <w:sz w:val="24"/>
          <w:szCs w:val="24"/>
        </w:rPr>
        <w:lastRenderedPageBreak/>
        <w:t>Management</w:t>
      </w:r>
      <w:r w:rsidR="00173214" w:rsidRPr="00896E71">
        <w:rPr>
          <w:rFonts w:cs="Calibri"/>
          <w:b/>
          <w:color w:val="C00000"/>
          <w:sz w:val="24"/>
          <w:szCs w:val="24"/>
        </w:rPr>
        <w:t xml:space="preserve"> of HTG</w:t>
      </w:r>
    </w:p>
    <w:p w:rsidR="006F2ED8" w:rsidRDefault="006F2ED8" w:rsidP="00A70A16">
      <w:pPr>
        <w:spacing w:after="0"/>
        <w:rPr>
          <w:rFonts w:cs="Calibri"/>
        </w:rPr>
      </w:pPr>
      <w:r w:rsidRPr="003074E2">
        <w:rPr>
          <w:rFonts w:cs="Calibri"/>
        </w:rPr>
        <w:t xml:space="preserve">Treatment of HTG has two distinct objectives: </w:t>
      </w:r>
      <w:r w:rsidR="00B36720">
        <w:rPr>
          <w:rFonts w:cs="Calibri"/>
        </w:rPr>
        <w:t>(i)</w:t>
      </w:r>
      <w:r w:rsidRPr="003074E2">
        <w:rPr>
          <w:rFonts w:cs="Calibri"/>
        </w:rPr>
        <w:t xml:space="preserve"> </w:t>
      </w:r>
      <w:r>
        <w:rPr>
          <w:rFonts w:cs="Calibri"/>
        </w:rPr>
        <w:t xml:space="preserve">immediate </w:t>
      </w:r>
      <w:r w:rsidRPr="003074E2">
        <w:rPr>
          <w:rFonts w:cs="Calibri"/>
        </w:rPr>
        <w:t>prevention of pancr</w:t>
      </w:r>
      <w:r w:rsidR="003665E0">
        <w:rPr>
          <w:rFonts w:cs="Calibri"/>
        </w:rPr>
        <w:t xml:space="preserve">eatitis in cases of severe HTG </w:t>
      </w:r>
      <w:r w:rsidRPr="003074E2">
        <w:rPr>
          <w:rFonts w:cs="Calibri"/>
        </w:rPr>
        <w:t>&gt;10 mmol/L</w:t>
      </w:r>
      <w:r w:rsidR="001101C4">
        <w:rPr>
          <w:rFonts w:cs="Calibri"/>
        </w:rPr>
        <w:t>;</w:t>
      </w:r>
      <w:r w:rsidRPr="003074E2">
        <w:rPr>
          <w:rFonts w:cs="Calibri"/>
        </w:rPr>
        <w:t xml:space="preserve"> and </w:t>
      </w:r>
      <w:r w:rsidR="00B36720">
        <w:rPr>
          <w:rFonts w:cs="Calibri"/>
        </w:rPr>
        <w:t>(ii)</w:t>
      </w:r>
      <w:r w:rsidRPr="003074E2">
        <w:rPr>
          <w:rFonts w:cs="Calibri"/>
        </w:rPr>
        <w:t xml:space="preserve"> reduction of</w:t>
      </w:r>
      <w:r>
        <w:rPr>
          <w:rFonts w:cs="Calibri"/>
        </w:rPr>
        <w:t xml:space="preserve"> global</w:t>
      </w:r>
      <w:r w:rsidRPr="003074E2">
        <w:rPr>
          <w:rFonts w:cs="Calibri"/>
        </w:rPr>
        <w:t xml:space="preserve"> CVD risk</w:t>
      </w:r>
      <w:r>
        <w:rPr>
          <w:rFonts w:cs="Calibri"/>
        </w:rPr>
        <w:t xml:space="preserve">. </w:t>
      </w:r>
      <w:r w:rsidRPr="003074E2">
        <w:rPr>
          <w:rFonts w:cs="Calibri"/>
        </w:rPr>
        <w:t xml:space="preserve">Since HTG is </w:t>
      </w:r>
      <w:r w:rsidR="007B1479" w:rsidRPr="003074E2">
        <w:rPr>
          <w:rFonts w:cs="Calibri"/>
        </w:rPr>
        <w:t>characteri</w:t>
      </w:r>
      <w:r w:rsidR="007B1479">
        <w:rPr>
          <w:rFonts w:cs="Calibri"/>
        </w:rPr>
        <w:t>s</w:t>
      </w:r>
      <w:r w:rsidR="007B1479" w:rsidRPr="003074E2">
        <w:rPr>
          <w:rFonts w:cs="Calibri"/>
        </w:rPr>
        <w:t xml:space="preserve">ed </w:t>
      </w:r>
      <w:r w:rsidRPr="003074E2">
        <w:rPr>
          <w:rFonts w:cs="Calibri"/>
        </w:rPr>
        <w:t xml:space="preserve">by elevated levels of remnant TG-rich lipoproteins, non-HDL cholesterol or apoB are considered secondary </w:t>
      </w:r>
      <w:r w:rsidR="003665E0">
        <w:rPr>
          <w:rFonts w:cs="Calibri"/>
        </w:rPr>
        <w:t xml:space="preserve">treatment </w:t>
      </w:r>
      <w:r w:rsidRPr="003074E2">
        <w:rPr>
          <w:rFonts w:cs="Calibri"/>
        </w:rPr>
        <w:t>targets</w:t>
      </w:r>
      <w:r>
        <w:rPr>
          <w:rFonts w:cs="Calibri"/>
        </w:rPr>
        <w:t>, after LDL cholesterol</w:t>
      </w:r>
      <w:r w:rsidR="00B36720">
        <w:rPr>
          <w:rFonts w:cs="Calibri"/>
        </w:rPr>
        <w:t>.</w:t>
      </w:r>
      <w:r w:rsidRPr="00997DBF">
        <w:rPr>
          <w:rFonts w:cs="Calibri"/>
          <w:vertAlign w:val="superscript"/>
        </w:rPr>
        <w:t>4</w:t>
      </w:r>
      <w:r w:rsidR="00BC74DE">
        <w:rPr>
          <w:rFonts w:cs="Calibri"/>
          <w:vertAlign w:val="superscript"/>
        </w:rPr>
        <w:t>6</w:t>
      </w:r>
      <w:r w:rsidRPr="003074E2">
        <w:rPr>
          <w:rFonts w:cs="Calibri"/>
        </w:rPr>
        <w:t xml:space="preserve">  </w:t>
      </w:r>
      <w:r>
        <w:rPr>
          <w:rFonts w:cs="Calibri"/>
        </w:rPr>
        <w:t xml:space="preserve">  </w:t>
      </w:r>
    </w:p>
    <w:p w:rsidR="00896E71" w:rsidRDefault="00896E71" w:rsidP="00A70A16">
      <w:pPr>
        <w:spacing w:after="0"/>
        <w:rPr>
          <w:rFonts w:cs="Calibri"/>
        </w:rPr>
      </w:pPr>
    </w:p>
    <w:p w:rsidR="00BA7AE2" w:rsidRDefault="002D1A79" w:rsidP="00A70A16">
      <w:pPr>
        <w:spacing w:after="0"/>
        <w:rPr>
          <w:rFonts w:cs="Calibri"/>
        </w:rPr>
      </w:pPr>
      <w:r w:rsidRPr="003074E2">
        <w:rPr>
          <w:rFonts w:cs="Calibri"/>
        </w:rPr>
        <w:t xml:space="preserve">Once secondary causes </w:t>
      </w:r>
      <w:r w:rsidR="003665E0">
        <w:rPr>
          <w:rFonts w:cs="Calibri"/>
        </w:rPr>
        <w:t>have been treated</w:t>
      </w:r>
      <w:r w:rsidRPr="003074E2">
        <w:rPr>
          <w:rFonts w:cs="Calibri"/>
        </w:rPr>
        <w:t>, the management of mild</w:t>
      </w:r>
      <w:r w:rsidR="003665E0">
        <w:rPr>
          <w:rFonts w:cs="Calibri"/>
        </w:rPr>
        <w:t>-to-</w:t>
      </w:r>
      <w:r w:rsidRPr="003074E2">
        <w:rPr>
          <w:rFonts w:cs="Calibri"/>
        </w:rPr>
        <w:t xml:space="preserve">moderate HTG should follow </w:t>
      </w:r>
      <w:r w:rsidR="009D3619">
        <w:rPr>
          <w:rFonts w:cs="Calibri"/>
        </w:rPr>
        <w:t>guideline</w:t>
      </w:r>
      <w:r w:rsidRPr="003074E2">
        <w:rPr>
          <w:rFonts w:cs="Calibri"/>
        </w:rPr>
        <w:t xml:space="preserve"> recommendations</w:t>
      </w:r>
      <w:r w:rsidR="00B36720">
        <w:rPr>
          <w:rFonts w:cs="Calibri"/>
        </w:rPr>
        <w:t>,</w:t>
      </w:r>
      <w:r w:rsidR="00700999" w:rsidRPr="00997DBF">
        <w:rPr>
          <w:rFonts w:cs="Calibri"/>
          <w:vertAlign w:val="superscript"/>
        </w:rPr>
        <w:t>3</w:t>
      </w:r>
      <w:r w:rsidR="00BA4946" w:rsidRPr="00997DBF">
        <w:rPr>
          <w:rFonts w:cs="Calibri"/>
          <w:vertAlign w:val="superscript"/>
        </w:rPr>
        <w:t>,6</w:t>
      </w:r>
      <w:r w:rsidR="00A57D0A" w:rsidRPr="00997DBF">
        <w:rPr>
          <w:rFonts w:cs="Calibri"/>
          <w:vertAlign w:val="superscript"/>
        </w:rPr>
        <w:t>,7</w:t>
      </w:r>
      <w:r w:rsidRPr="003074E2">
        <w:rPr>
          <w:rFonts w:cs="Calibri"/>
        </w:rPr>
        <w:t xml:space="preserve"> with </w:t>
      </w:r>
      <w:r w:rsidR="009D3619">
        <w:rPr>
          <w:rFonts w:cs="Calibri"/>
        </w:rPr>
        <w:t xml:space="preserve">initial </w:t>
      </w:r>
      <w:r w:rsidRPr="003074E2">
        <w:rPr>
          <w:rFonts w:cs="Calibri"/>
        </w:rPr>
        <w:t>emphasis on diet</w:t>
      </w:r>
      <w:r w:rsidR="009D3619">
        <w:rPr>
          <w:rFonts w:cs="Calibri"/>
        </w:rPr>
        <w:t xml:space="preserve"> and exerci</w:t>
      </w:r>
      <w:r w:rsidR="00A57D0A">
        <w:rPr>
          <w:rFonts w:cs="Calibri"/>
        </w:rPr>
        <w:t>s</w:t>
      </w:r>
      <w:r w:rsidR="009D3619">
        <w:rPr>
          <w:rFonts w:cs="Calibri"/>
        </w:rPr>
        <w:t>e</w:t>
      </w:r>
      <w:r w:rsidRPr="003074E2">
        <w:rPr>
          <w:rFonts w:cs="Calibri"/>
        </w:rPr>
        <w:t xml:space="preserve">. Non-pharmacologic therapy is recommended </w:t>
      </w:r>
      <w:r w:rsidR="003665E0">
        <w:rPr>
          <w:rFonts w:cs="Calibri"/>
        </w:rPr>
        <w:t>for</w:t>
      </w:r>
      <w:r w:rsidRPr="003074E2">
        <w:rPr>
          <w:rFonts w:cs="Calibri"/>
        </w:rPr>
        <w:t xml:space="preserve"> </w:t>
      </w:r>
      <w:r w:rsidR="003665E0">
        <w:rPr>
          <w:rFonts w:cs="Calibri"/>
        </w:rPr>
        <w:t xml:space="preserve">individuals with </w:t>
      </w:r>
      <w:r w:rsidRPr="003074E2">
        <w:rPr>
          <w:rFonts w:cs="Calibri"/>
        </w:rPr>
        <w:t xml:space="preserve">TG levels </w:t>
      </w:r>
      <w:r w:rsidR="00974266">
        <w:rPr>
          <w:rFonts w:cs="Calibri"/>
        </w:rPr>
        <w:t>&gt;2</w:t>
      </w:r>
      <w:r w:rsidR="00395857" w:rsidRPr="003074E2">
        <w:rPr>
          <w:rFonts w:cs="Calibri"/>
        </w:rPr>
        <w:t xml:space="preserve"> mmol/L</w:t>
      </w:r>
      <w:r w:rsidR="00CB09CD">
        <w:rPr>
          <w:rFonts w:cs="Calibri"/>
        </w:rPr>
        <w:t>. T</w:t>
      </w:r>
      <w:r w:rsidRPr="003074E2">
        <w:rPr>
          <w:rFonts w:cs="Calibri"/>
        </w:rPr>
        <w:t xml:space="preserve">he decision to </w:t>
      </w:r>
      <w:r w:rsidR="003665E0">
        <w:rPr>
          <w:rFonts w:cs="Calibri"/>
        </w:rPr>
        <w:t>initiat</w:t>
      </w:r>
      <w:r w:rsidRPr="003074E2">
        <w:rPr>
          <w:rFonts w:cs="Calibri"/>
        </w:rPr>
        <w:t xml:space="preserve">e pharmacologic therapy depends on the degree of TG elevation. </w:t>
      </w:r>
      <w:r w:rsidR="0099696F">
        <w:rPr>
          <w:rFonts w:cs="Calibri"/>
        </w:rPr>
        <w:t>I</w:t>
      </w:r>
      <w:r w:rsidR="003074E2">
        <w:rPr>
          <w:rFonts w:cs="Calibri"/>
        </w:rPr>
        <w:t>ndividual</w:t>
      </w:r>
      <w:r w:rsidRPr="003074E2">
        <w:rPr>
          <w:rFonts w:cs="Calibri"/>
        </w:rPr>
        <w:t xml:space="preserve">s with </w:t>
      </w:r>
      <w:r w:rsidR="00700999">
        <w:rPr>
          <w:rFonts w:cs="Calibri"/>
        </w:rPr>
        <w:t>TG</w:t>
      </w:r>
      <w:r w:rsidRPr="003074E2">
        <w:rPr>
          <w:rFonts w:cs="Calibri"/>
        </w:rPr>
        <w:t xml:space="preserve"> &gt;10 mmol/L warrant </w:t>
      </w:r>
      <w:r w:rsidR="003920FB">
        <w:rPr>
          <w:rFonts w:cs="Calibri"/>
        </w:rPr>
        <w:t xml:space="preserve">immediate and </w:t>
      </w:r>
      <w:r w:rsidRPr="003074E2">
        <w:rPr>
          <w:rFonts w:cs="Calibri"/>
        </w:rPr>
        <w:t>aggressive TG reduction</w:t>
      </w:r>
      <w:r w:rsidR="0099696F">
        <w:rPr>
          <w:rFonts w:cs="Calibri"/>
        </w:rPr>
        <w:t xml:space="preserve"> </w:t>
      </w:r>
      <w:r w:rsidR="00207387">
        <w:rPr>
          <w:rFonts w:cs="Calibri"/>
        </w:rPr>
        <w:t xml:space="preserve">in order </w:t>
      </w:r>
      <w:r w:rsidR="0099696F">
        <w:rPr>
          <w:rFonts w:cs="Calibri"/>
        </w:rPr>
        <w:t>to</w:t>
      </w:r>
      <w:r w:rsidR="0099696F" w:rsidRPr="003074E2">
        <w:rPr>
          <w:rFonts w:cs="Calibri"/>
        </w:rPr>
        <w:t xml:space="preserve"> </w:t>
      </w:r>
      <w:r w:rsidR="007B1479">
        <w:rPr>
          <w:rFonts w:cs="Calibri"/>
        </w:rPr>
        <w:t xml:space="preserve">minimise </w:t>
      </w:r>
      <w:r w:rsidR="0099696F" w:rsidRPr="003074E2">
        <w:rPr>
          <w:rFonts w:cs="Calibri"/>
        </w:rPr>
        <w:t>the risk of acute pancreatitis</w:t>
      </w:r>
      <w:r w:rsidR="0099696F">
        <w:rPr>
          <w:rFonts w:cs="Calibri"/>
        </w:rPr>
        <w:t xml:space="preserve">, </w:t>
      </w:r>
      <w:r w:rsidRPr="003074E2">
        <w:rPr>
          <w:rFonts w:cs="Calibri"/>
        </w:rPr>
        <w:t xml:space="preserve">using </w:t>
      </w:r>
      <w:r w:rsidR="00BA4946">
        <w:rPr>
          <w:rFonts w:cs="Calibri"/>
        </w:rPr>
        <w:t>a strict fat-</w:t>
      </w:r>
      <w:r w:rsidR="00395857" w:rsidRPr="003074E2">
        <w:rPr>
          <w:rFonts w:cs="Calibri"/>
        </w:rPr>
        <w:t>reduced diet</w:t>
      </w:r>
      <w:r w:rsidR="00BA60EF">
        <w:rPr>
          <w:rFonts w:cs="Calibri"/>
        </w:rPr>
        <w:t xml:space="preserve"> and </w:t>
      </w:r>
      <w:r w:rsidR="00207387">
        <w:rPr>
          <w:rFonts w:cs="Calibri"/>
        </w:rPr>
        <w:t>avoiding simple carbohydrates</w:t>
      </w:r>
      <w:r w:rsidR="00BA60EF">
        <w:rPr>
          <w:rFonts w:cs="Calibri"/>
        </w:rPr>
        <w:t xml:space="preserve">; use of </w:t>
      </w:r>
      <w:r w:rsidR="00207387">
        <w:rPr>
          <w:rFonts w:cs="Calibri"/>
        </w:rPr>
        <w:t>f</w:t>
      </w:r>
      <w:r w:rsidRPr="003074E2">
        <w:rPr>
          <w:rFonts w:cs="Calibri"/>
        </w:rPr>
        <w:t>ibrates, niacin</w:t>
      </w:r>
      <w:r w:rsidR="00F603DE">
        <w:rPr>
          <w:rFonts w:cs="Calibri"/>
        </w:rPr>
        <w:t>,</w:t>
      </w:r>
      <w:r w:rsidRPr="003074E2">
        <w:rPr>
          <w:rFonts w:cs="Calibri"/>
        </w:rPr>
        <w:t xml:space="preserve"> </w:t>
      </w:r>
      <w:r w:rsidR="00BA4946">
        <w:rPr>
          <w:rFonts w:cs="Calibri"/>
        </w:rPr>
        <w:t>or</w:t>
      </w:r>
      <w:r w:rsidRPr="003074E2">
        <w:rPr>
          <w:rFonts w:cs="Calibri"/>
        </w:rPr>
        <w:t xml:space="preserve"> omega-3 fatty acids</w:t>
      </w:r>
      <w:r w:rsidR="00BA60EF">
        <w:rPr>
          <w:rFonts w:cs="Calibri"/>
        </w:rPr>
        <w:t xml:space="preserve"> may be considered</w:t>
      </w:r>
      <w:r w:rsidRPr="003074E2">
        <w:rPr>
          <w:rFonts w:cs="Calibri"/>
        </w:rPr>
        <w:t>.</w:t>
      </w:r>
      <w:r w:rsidR="006F2ED8" w:rsidRPr="003074E2">
        <w:rPr>
          <w:rFonts w:cs="Calibri"/>
        </w:rPr>
        <w:t xml:space="preserve"> </w:t>
      </w:r>
      <w:r w:rsidR="006F2ED8">
        <w:rPr>
          <w:rFonts w:cs="Calibri"/>
        </w:rPr>
        <w:t xml:space="preserve">In the context of abdominal pain, treatment of severe HTG includes </w:t>
      </w:r>
      <w:r w:rsidR="007B1479">
        <w:rPr>
          <w:rFonts w:cs="Calibri"/>
        </w:rPr>
        <w:t>hospitalisation</w:t>
      </w:r>
      <w:r w:rsidR="006F2ED8">
        <w:rPr>
          <w:rFonts w:cs="Calibri"/>
        </w:rPr>
        <w:t>, with cessation of oral intake, and supportive measu</w:t>
      </w:r>
      <w:r w:rsidR="00207387">
        <w:rPr>
          <w:rFonts w:cs="Calibri"/>
        </w:rPr>
        <w:t>res including fluid replacement, avoiding glucose infusions</w:t>
      </w:r>
      <w:r w:rsidR="00F603DE">
        <w:rPr>
          <w:rFonts w:cs="Calibri"/>
        </w:rPr>
        <w:t>,</w:t>
      </w:r>
      <w:r w:rsidR="00207387">
        <w:rPr>
          <w:rFonts w:cs="Calibri"/>
        </w:rPr>
        <w:t xml:space="preserve"> </w:t>
      </w:r>
      <w:r w:rsidR="006F2ED8">
        <w:rPr>
          <w:rFonts w:cs="Calibri"/>
        </w:rPr>
        <w:t xml:space="preserve">and control of obvious precipitating factors such as diabetes. </w:t>
      </w:r>
      <w:r w:rsidR="00207387">
        <w:rPr>
          <w:rFonts w:cs="Calibri"/>
        </w:rPr>
        <w:t>P</w:t>
      </w:r>
      <w:r w:rsidR="006F2ED8">
        <w:rPr>
          <w:rFonts w:cs="Calibri"/>
        </w:rPr>
        <w:t xml:space="preserve">harmacologic agents </w:t>
      </w:r>
      <w:r w:rsidR="000A6D28">
        <w:rPr>
          <w:rFonts w:cs="Calibri"/>
        </w:rPr>
        <w:t>are relatively less effective</w:t>
      </w:r>
      <w:r w:rsidR="006F2ED8">
        <w:rPr>
          <w:rFonts w:cs="Calibri"/>
        </w:rPr>
        <w:t xml:space="preserve"> in this </w:t>
      </w:r>
      <w:r w:rsidR="000A6D28">
        <w:rPr>
          <w:rFonts w:cs="Calibri"/>
        </w:rPr>
        <w:t>situation</w:t>
      </w:r>
      <w:r w:rsidR="002D0F2D">
        <w:rPr>
          <w:rFonts w:cs="Calibri"/>
        </w:rPr>
        <w:t>;</w:t>
      </w:r>
      <w:r w:rsidR="006F2ED8">
        <w:rPr>
          <w:rFonts w:cs="Calibri"/>
        </w:rPr>
        <w:t xml:space="preserve"> dramatic interventions such as </w:t>
      </w:r>
      <w:r w:rsidR="002D0F2D">
        <w:rPr>
          <w:rFonts w:cs="Calibri"/>
        </w:rPr>
        <w:t xml:space="preserve">infusions of insulin or </w:t>
      </w:r>
      <w:r w:rsidR="00207387">
        <w:rPr>
          <w:rFonts w:cs="Calibri"/>
        </w:rPr>
        <w:t>heparin</w:t>
      </w:r>
      <w:r w:rsidR="002D0F2D">
        <w:rPr>
          <w:rFonts w:cs="Calibri"/>
        </w:rPr>
        <w:t>, high dose antioxidants</w:t>
      </w:r>
      <w:r w:rsidR="00F603DE">
        <w:rPr>
          <w:rFonts w:cs="Calibri"/>
        </w:rPr>
        <w:t>,</w:t>
      </w:r>
      <w:r w:rsidR="00207387">
        <w:rPr>
          <w:rFonts w:cs="Calibri"/>
        </w:rPr>
        <w:t xml:space="preserve"> or </w:t>
      </w:r>
      <w:r w:rsidR="006F2ED8">
        <w:rPr>
          <w:rFonts w:cs="Calibri"/>
        </w:rPr>
        <w:t xml:space="preserve">plasma </w:t>
      </w:r>
      <w:r w:rsidR="006F2ED8">
        <w:rPr>
          <w:rFonts w:cs="Calibri"/>
        </w:rPr>
        <w:lastRenderedPageBreak/>
        <w:t xml:space="preserve">exchange are </w:t>
      </w:r>
      <w:r w:rsidR="000A6D28">
        <w:rPr>
          <w:rFonts w:cs="Calibri"/>
        </w:rPr>
        <w:t xml:space="preserve">also </w:t>
      </w:r>
      <w:r w:rsidR="00207387">
        <w:rPr>
          <w:rFonts w:cs="Calibri"/>
        </w:rPr>
        <w:t xml:space="preserve">probably </w:t>
      </w:r>
      <w:r w:rsidR="006F2ED8">
        <w:rPr>
          <w:rFonts w:cs="Calibri"/>
        </w:rPr>
        <w:t xml:space="preserve">of limited value </w:t>
      </w:r>
      <w:r w:rsidR="008D5AC6">
        <w:rPr>
          <w:rFonts w:cs="Calibri"/>
        </w:rPr>
        <w:t>for many patients</w:t>
      </w:r>
      <w:r w:rsidR="00B36720">
        <w:rPr>
          <w:rFonts w:cs="Calibri"/>
        </w:rPr>
        <w:t>.</w:t>
      </w:r>
      <w:r w:rsidR="006F2ED8" w:rsidRPr="00997DBF">
        <w:rPr>
          <w:rFonts w:cs="Calibri"/>
          <w:vertAlign w:val="superscript"/>
        </w:rPr>
        <w:t>4</w:t>
      </w:r>
      <w:r w:rsidR="006F2ED8">
        <w:rPr>
          <w:rFonts w:cs="Calibri"/>
        </w:rPr>
        <w:t xml:space="preserve"> </w:t>
      </w:r>
      <w:r w:rsidR="000D1C47">
        <w:rPr>
          <w:rFonts w:cs="Calibri"/>
        </w:rPr>
        <w:t>As noted earlier, d</w:t>
      </w:r>
      <w:r w:rsidRPr="003074E2">
        <w:rPr>
          <w:rFonts w:cs="Calibri"/>
        </w:rPr>
        <w:t>ue to the uncertain</w:t>
      </w:r>
      <w:r w:rsidR="0099696F">
        <w:rPr>
          <w:rFonts w:cs="Calibri"/>
        </w:rPr>
        <w:t xml:space="preserve"> cl</w:t>
      </w:r>
      <w:r w:rsidRPr="003074E2">
        <w:rPr>
          <w:rFonts w:cs="Calibri"/>
        </w:rPr>
        <w:t xml:space="preserve">inical benefit, practice guidelines are not universal </w:t>
      </w:r>
      <w:r w:rsidR="0099696F">
        <w:rPr>
          <w:rFonts w:cs="Calibri"/>
        </w:rPr>
        <w:t xml:space="preserve">or consistent </w:t>
      </w:r>
      <w:r w:rsidRPr="003074E2">
        <w:rPr>
          <w:rFonts w:cs="Calibri"/>
        </w:rPr>
        <w:t xml:space="preserve">regarding the management of </w:t>
      </w:r>
      <w:r w:rsidR="003074E2">
        <w:rPr>
          <w:rFonts w:cs="Calibri"/>
        </w:rPr>
        <w:t>individual</w:t>
      </w:r>
      <w:r w:rsidRPr="003074E2">
        <w:rPr>
          <w:rFonts w:cs="Calibri"/>
        </w:rPr>
        <w:t xml:space="preserve">s with TG levels </w:t>
      </w:r>
      <w:r w:rsidR="006F735D">
        <w:rPr>
          <w:rFonts w:cs="Calibri"/>
        </w:rPr>
        <w:t xml:space="preserve">between 2 and </w:t>
      </w:r>
      <w:r w:rsidR="0099696F">
        <w:rPr>
          <w:rFonts w:cs="Calibri"/>
        </w:rPr>
        <w:t>10</w:t>
      </w:r>
      <w:r w:rsidR="006F735D">
        <w:rPr>
          <w:rFonts w:cs="Calibri"/>
        </w:rPr>
        <w:t xml:space="preserve"> mmol/L</w:t>
      </w:r>
      <w:r w:rsidRPr="003074E2">
        <w:rPr>
          <w:rFonts w:cs="Calibri"/>
        </w:rPr>
        <w:t xml:space="preserve">.  </w:t>
      </w:r>
      <w:r w:rsidR="008D5AC6">
        <w:rPr>
          <w:rFonts w:cs="Calibri"/>
        </w:rPr>
        <w:t xml:space="preserve"> </w:t>
      </w:r>
      <w:r w:rsidRPr="003074E2">
        <w:rPr>
          <w:rFonts w:cs="Calibri"/>
        </w:rPr>
        <w:tab/>
      </w:r>
    </w:p>
    <w:p w:rsidR="00896E71" w:rsidRDefault="00896E71" w:rsidP="00A70A16">
      <w:pPr>
        <w:spacing w:after="0"/>
        <w:rPr>
          <w:rFonts w:cs="Calibri"/>
        </w:rPr>
      </w:pPr>
    </w:p>
    <w:p w:rsidR="009700AC" w:rsidRDefault="003074E2" w:rsidP="00A70A16">
      <w:pPr>
        <w:spacing w:after="0"/>
        <w:rPr>
          <w:rFonts w:cs="Calibri"/>
        </w:rPr>
      </w:pPr>
      <w:r>
        <w:rPr>
          <w:rFonts w:cs="Calibri"/>
        </w:rPr>
        <w:t>Individual</w:t>
      </w:r>
      <w:r w:rsidR="002D1A79" w:rsidRPr="003074E2">
        <w:rPr>
          <w:rFonts w:cs="Calibri"/>
        </w:rPr>
        <w:t xml:space="preserve">s with HTG should be assessed and managed for their global CVD risk, which does not necessarily imply management of their TG levels. A treatment strategy is shown in </w:t>
      </w:r>
      <w:r w:rsidR="002D1A79" w:rsidRPr="00410AC4">
        <w:rPr>
          <w:rFonts w:cs="Calibri"/>
          <w:b/>
        </w:rPr>
        <w:t xml:space="preserve">Table </w:t>
      </w:r>
      <w:r w:rsidR="00410AC4" w:rsidRPr="00410AC4">
        <w:rPr>
          <w:rFonts w:cs="Calibri"/>
          <w:b/>
        </w:rPr>
        <w:t>3</w:t>
      </w:r>
      <w:r w:rsidR="002D1A79" w:rsidRPr="003074E2">
        <w:rPr>
          <w:rFonts w:cs="Calibri"/>
        </w:rPr>
        <w:t xml:space="preserve">. </w:t>
      </w:r>
      <w:r w:rsidR="001D64B5" w:rsidRPr="001D64B5">
        <w:rPr>
          <w:rFonts w:cs="Calibri"/>
        </w:rPr>
        <w:t xml:space="preserve">A positive family history of CVD, defined as </w:t>
      </w:r>
      <w:r w:rsidR="007308F8">
        <w:rPr>
          <w:rFonts w:cs="Calibri"/>
        </w:rPr>
        <w:t>at least one</w:t>
      </w:r>
      <w:r w:rsidR="001D64B5" w:rsidRPr="001D64B5">
        <w:rPr>
          <w:rFonts w:cs="Calibri"/>
        </w:rPr>
        <w:t xml:space="preserve"> first degree relative </w:t>
      </w:r>
      <w:r w:rsidR="005C5E23">
        <w:rPr>
          <w:rFonts w:cs="Calibri"/>
        </w:rPr>
        <w:t xml:space="preserve">or </w:t>
      </w:r>
      <w:r w:rsidR="007308F8">
        <w:rPr>
          <w:rFonts w:cs="Calibri"/>
        </w:rPr>
        <w:t>at least two</w:t>
      </w:r>
      <w:r w:rsidR="001D64B5" w:rsidRPr="001D64B5">
        <w:rPr>
          <w:rFonts w:cs="Calibri"/>
        </w:rPr>
        <w:t xml:space="preserve"> sec</w:t>
      </w:r>
      <w:r w:rsidR="001D64B5">
        <w:rPr>
          <w:rFonts w:cs="Calibri"/>
        </w:rPr>
        <w:t xml:space="preserve">ond degree relatives with CVD, </w:t>
      </w:r>
      <w:r w:rsidR="001D64B5" w:rsidRPr="001D64B5">
        <w:rPr>
          <w:rFonts w:cs="Calibri"/>
        </w:rPr>
        <w:t xml:space="preserve">must be taken </w:t>
      </w:r>
      <w:r w:rsidR="009700AC">
        <w:rPr>
          <w:rFonts w:cs="Calibri"/>
        </w:rPr>
        <w:t>into account</w:t>
      </w:r>
      <w:r w:rsidR="001D64B5" w:rsidRPr="001D64B5">
        <w:rPr>
          <w:rFonts w:cs="Calibri"/>
        </w:rPr>
        <w:t>, even if this is independent of dyslipid</w:t>
      </w:r>
      <w:r w:rsidR="007B1479">
        <w:rPr>
          <w:rFonts w:cs="Calibri"/>
        </w:rPr>
        <w:t>a</w:t>
      </w:r>
      <w:r w:rsidR="001D64B5" w:rsidRPr="001D64B5">
        <w:rPr>
          <w:rFonts w:cs="Calibri"/>
        </w:rPr>
        <w:t xml:space="preserve">emia. </w:t>
      </w:r>
      <w:r w:rsidR="002D1A79" w:rsidRPr="003074E2">
        <w:rPr>
          <w:rFonts w:cs="Calibri"/>
        </w:rPr>
        <w:t xml:space="preserve">Since </w:t>
      </w:r>
      <w:r w:rsidR="00D04FC1">
        <w:rPr>
          <w:rFonts w:cs="Calibri"/>
        </w:rPr>
        <w:t>multiple</w:t>
      </w:r>
      <w:r w:rsidR="002D1A79" w:rsidRPr="003074E2">
        <w:rPr>
          <w:rFonts w:cs="Calibri"/>
        </w:rPr>
        <w:t xml:space="preserve"> susceptibility alleles, environmental factors</w:t>
      </w:r>
      <w:r w:rsidR="00F603DE">
        <w:rPr>
          <w:rFonts w:cs="Calibri"/>
        </w:rPr>
        <w:t>,</w:t>
      </w:r>
      <w:r w:rsidR="002D1A79" w:rsidRPr="003074E2">
        <w:rPr>
          <w:rFonts w:cs="Calibri"/>
        </w:rPr>
        <w:t xml:space="preserve"> and secondary factors tend to be shared within families, other family members may also have a lipid disorder and </w:t>
      </w:r>
      <w:r w:rsidR="002D0F2D">
        <w:rPr>
          <w:rFonts w:cs="Calibri"/>
        </w:rPr>
        <w:t>evaluation of them</w:t>
      </w:r>
      <w:r w:rsidR="002D1A79" w:rsidRPr="003074E2">
        <w:rPr>
          <w:rFonts w:cs="Calibri"/>
        </w:rPr>
        <w:t xml:space="preserve"> for dyslipid</w:t>
      </w:r>
      <w:r w:rsidR="007B1479">
        <w:rPr>
          <w:rFonts w:cs="Calibri"/>
        </w:rPr>
        <w:t>a</w:t>
      </w:r>
      <w:r w:rsidR="002D1A79" w:rsidRPr="003074E2">
        <w:rPr>
          <w:rFonts w:cs="Calibri"/>
        </w:rPr>
        <w:t>emia and related cardiometabolic risk</w:t>
      </w:r>
      <w:r w:rsidR="002D0F2D">
        <w:rPr>
          <w:rFonts w:cs="Calibri"/>
        </w:rPr>
        <w:t xml:space="preserve"> should be considered. </w:t>
      </w:r>
      <w:r w:rsidR="002D1A79" w:rsidRPr="003074E2">
        <w:rPr>
          <w:rFonts w:cs="Calibri"/>
        </w:rPr>
        <w:t>This situation is analogous to that for common type 2 diabetes, which clusters in families, but typically is not associated with a single monogenic cause.</w:t>
      </w:r>
    </w:p>
    <w:p w:rsidR="002D1A79" w:rsidRDefault="002D1A79" w:rsidP="00A70A16">
      <w:pPr>
        <w:spacing w:after="0"/>
        <w:rPr>
          <w:rFonts w:cs="Calibri"/>
        </w:rPr>
      </w:pPr>
      <w:r w:rsidRPr="003074E2">
        <w:rPr>
          <w:rFonts w:cs="Calibri"/>
        </w:rPr>
        <w:t>For combined hyperlipid</w:t>
      </w:r>
      <w:r w:rsidR="007D2A77">
        <w:rPr>
          <w:rFonts w:cs="Calibri"/>
        </w:rPr>
        <w:t>a</w:t>
      </w:r>
      <w:r w:rsidRPr="003074E2">
        <w:rPr>
          <w:rFonts w:cs="Calibri"/>
        </w:rPr>
        <w:t>emia, elevated LDL cholesterol is part of the phenotype, and th</w:t>
      </w:r>
      <w:r w:rsidR="005C5E23">
        <w:rPr>
          <w:rFonts w:cs="Calibri"/>
        </w:rPr>
        <w:t xml:space="preserve">is </w:t>
      </w:r>
      <w:r w:rsidRPr="003074E2">
        <w:rPr>
          <w:rFonts w:cs="Calibri"/>
        </w:rPr>
        <w:t>will amplify CVD risk</w:t>
      </w:r>
      <w:r w:rsidR="0099696F">
        <w:rPr>
          <w:rFonts w:cs="Calibri"/>
        </w:rPr>
        <w:t>. T</w:t>
      </w:r>
      <w:r w:rsidRPr="003074E2">
        <w:rPr>
          <w:rFonts w:cs="Calibri"/>
        </w:rPr>
        <w:t>hus, family members</w:t>
      </w:r>
      <w:r w:rsidR="00F603DE">
        <w:rPr>
          <w:rFonts w:cs="Calibri"/>
        </w:rPr>
        <w:t>,</w:t>
      </w:r>
      <w:r w:rsidRPr="003074E2">
        <w:rPr>
          <w:rFonts w:cs="Calibri"/>
        </w:rPr>
        <w:t xml:space="preserve"> and particularly first degree relatives of </w:t>
      </w:r>
      <w:r w:rsidR="00D04FC1">
        <w:rPr>
          <w:rFonts w:cs="Calibri"/>
        </w:rPr>
        <w:t>such</w:t>
      </w:r>
      <w:r w:rsidRPr="003074E2">
        <w:rPr>
          <w:rFonts w:cs="Calibri"/>
        </w:rPr>
        <w:t xml:space="preserve"> patients</w:t>
      </w:r>
      <w:r w:rsidR="00F603DE">
        <w:rPr>
          <w:rFonts w:cs="Calibri"/>
        </w:rPr>
        <w:t>,</w:t>
      </w:r>
      <w:r w:rsidRPr="003074E2">
        <w:rPr>
          <w:rFonts w:cs="Calibri"/>
        </w:rPr>
        <w:t xml:space="preserve"> should be screened. </w:t>
      </w:r>
      <w:r w:rsidR="003920FB">
        <w:rPr>
          <w:rFonts w:cs="Calibri"/>
        </w:rPr>
        <w:t>R</w:t>
      </w:r>
      <w:r w:rsidRPr="003074E2">
        <w:rPr>
          <w:rFonts w:cs="Calibri"/>
        </w:rPr>
        <w:t xml:space="preserve">egardless of clinical designation, </w:t>
      </w:r>
      <w:r w:rsidR="003074E2">
        <w:rPr>
          <w:rFonts w:cs="Calibri"/>
        </w:rPr>
        <w:t>individual</w:t>
      </w:r>
      <w:r w:rsidRPr="003074E2">
        <w:rPr>
          <w:rFonts w:cs="Calibri"/>
        </w:rPr>
        <w:t xml:space="preserve">s with </w:t>
      </w:r>
      <w:r w:rsidR="00562259">
        <w:rPr>
          <w:rFonts w:cs="Calibri"/>
        </w:rPr>
        <w:t>combined hyperlipid</w:t>
      </w:r>
      <w:r w:rsidR="007D2A77">
        <w:rPr>
          <w:rFonts w:cs="Calibri"/>
        </w:rPr>
        <w:t>a</w:t>
      </w:r>
      <w:r w:rsidR="00562259">
        <w:rPr>
          <w:rFonts w:cs="Calibri"/>
        </w:rPr>
        <w:t>emia in particular</w:t>
      </w:r>
      <w:r w:rsidRPr="003074E2">
        <w:rPr>
          <w:rFonts w:cs="Calibri"/>
        </w:rPr>
        <w:t xml:space="preserve">, and HTG in general, still need to be managed. Risk assessment and ongoing care requires baseline </w:t>
      </w:r>
      <w:r w:rsidRPr="003074E2">
        <w:rPr>
          <w:rFonts w:cs="Calibri"/>
        </w:rPr>
        <w:lastRenderedPageBreak/>
        <w:t>and follow-up lipid profiling</w:t>
      </w:r>
      <w:r w:rsidR="00D04FC1">
        <w:rPr>
          <w:rFonts w:cs="Calibri"/>
        </w:rPr>
        <w:t xml:space="preserve">, especially since </w:t>
      </w:r>
      <w:r w:rsidRPr="003074E2">
        <w:rPr>
          <w:rFonts w:cs="Calibri"/>
        </w:rPr>
        <w:t>HTG can obscure calculation of LDL cholesterol</w:t>
      </w:r>
      <w:r w:rsidR="003920FB">
        <w:rPr>
          <w:rFonts w:cs="Calibri"/>
        </w:rPr>
        <w:t xml:space="preserve"> in these instances</w:t>
      </w:r>
      <w:r w:rsidR="00D04FC1">
        <w:rPr>
          <w:rFonts w:cs="Calibri"/>
        </w:rPr>
        <w:t xml:space="preserve">. Furthermore, </w:t>
      </w:r>
      <w:r w:rsidRPr="003074E2">
        <w:rPr>
          <w:rFonts w:cs="Calibri"/>
        </w:rPr>
        <w:t xml:space="preserve">non-HDL cholesterol </w:t>
      </w:r>
      <w:r w:rsidR="0099696F">
        <w:rPr>
          <w:rFonts w:cs="Calibri"/>
        </w:rPr>
        <w:t xml:space="preserve">- </w:t>
      </w:r>
      <w:r w:rsidRPr="003074E2">
        <w:rPr>
          <w:rFonts w:cs="Calibri"/>
        </w:rPr>
        <w:t xml:space="preserve">or </w:t>
      </w:r>
      <w:r w:rsidR="003920FB">
        <w:rPr>
          <w:rFonts w:cs="Calibri"/>
        </w:rPr>
        <w:t xml:space="preserve">if available </w:t>
      </w:r>
      <w:r w:rsidRPr="003074E2">
        <w:rPr>
          <w:rFonts w:cs="Calibri"/>
        </w:rPr>
        <w:t>apoB</w:t>
      </w:r>
      <w:r w:rsidR="0099696F">
        <w:rPr>
          <w:rFonts w:cs="Calibri"/>
        </w:rPr>
        <w:t xml:space="preserve"> -</w:t>
      </w:r>
      <w:r w:rsidRPr="003074E2">
        <w:rPr>
          <w:rFonts w:cs="Calibri"/>
        </w:rPr>
        <w:t xml:space="preserve"> </w:t>
      </w:r>
      <w:r w:rsidR="002D0F2D">
        <w:rPr>
          <w:rFonts w:cs="Calibri"/>
        </w:rPr>
        <w:t>may be</w:t>
      </w:r>
      <w:r w:rsidR="008D5AC6">
        <w:rPr>
          <w:rFonts w:cs="Calibri"/>
        </w:rPr>
        <w:t xml:space="preserve"> helpful</w:t>
      </w:r>
      <w:r w:rsidR="002D0F2D">
        <w:rPr>
          <w:rFonts w:cs="Calibri"/>
        </w:rPr>
        <w:t xml:space="preserve"> </w:t>
      </w:r>
      <w:r w:rsidR="003920FB">
        <w:rPr>
          <w:rFonts w:cs="Calibri"/>
        </w:rPr>
        <w:t>for</w:t>
      </w:r>
      <w:r w:rsidRPr="003074E2">
        <w:rPr>
          <w:rFonts w:cs="Calibri"/>
        </w:rPr>
        <w:t xml:space="preserve"> </w:t>
      </w:r>
      <w:r w:rsidR="008D5AC6">
        <w:rPr>
          <w:rFonts w:cs="Calibri"/>
        </w:rPr>
        <w:t xml:space="preserve">both </w:t>
      </w:r>
      <w:r w:rsidRPr="003074E2">
        <w:rPr>
          <w:rFonts w:cs="Calibri"/>
        </w:rPr>
        <w:t>risk assessment and monitoring</w:t>
      </w:r>
      <w:r w:rsidR="008D5AC6">
        <w:rPr>
          <w:rFonts w:cs="Calibri"/>
        </w:rPr>
        <w:t xml:space="preserve"> of treatment when LDL cholesterol levels cannot be determined</w:t>
      </w:r>
      <w:r w:rsidR="003920FB">
        <w:rPr>
          <w:rFonts w:cs="Calibri"/>
        </w:rPr>
        <w:t>.</w:t>
      </w:r>
    </w:p>
    <w:p w:rsidR="00896E71" w:rsidRPr="003074E2" w:rsidRDefault="00896E71" w:rsidP="00A70A16">
      <w:pPr>
        <w:spacing w:after="0"/>
        <w:rPr>
          <w:rFonts w:cs="Calibri"/>
        </w:rPr>
      </w:pPr>
    </w:p>
    <w:p w:rsidR="003074E2" w:rsidRPr="00896E71" w:rsidRDefault="002D1A79" w:rsidP="00A70A16">
      <w:pPr>
        <w:spacing w:after="0"/>
        <w:rPr>
          <w:rFonts w:cs="Calibri"/>
          <w:b/>
          <w:i/>
          <w:color w:val="C00000"/>
        </w:rPr>
      </w:pPr>
      <w:r w:rsidRPr="00896E71">
        <w:rPr>
          <w:rFonts w:cs="Calibri"/>
          <w:b/>
          <w:i/>
          <w:color w:val="C00000"/>
        </w:rPr>
        <w:t xml:space="preserve">Statins </w:t>
      </w:r>
    </w:p>
    <w:p w:rsidR="002D1A79" w:rsidRDefault="002D1A79" w:rsidP="00A70A16">
      <w:pPr>
        <w:spacing w:after="0"/>
        <w:rPr>
          <w:rFonts w:cs="Calibri"/>
        </w:rPr>
      </w:pPr>
      <w:r w:rsidRPr="003074E2">
        <w:rPr>
          <w:rFonts w:cs="Calibri"/>
        </w:rPr>
        <w:t xml:space="preserve">Statins decrease LDL cholesterol by </w:t>
      </w:r>
      <w:r w:rsidR="00F83426">
        <w:rPr>
          <w:rFonts w:cs="Calibri"/>
        </w:rPr>
        <w:t>up to</w:t>
      </w:r>
      <w:r w:rsidR="00562259">
        <w:rPr>
          <w:rFonts w:cs="Calibri"/>
        </w:rPr>
        <w:t xml:space="preserve"> </w:t>
      </w:r>
      <w:r w:rsidRPr="003074E2">
        <w:rPr>
          <w:rFonts w:cs="Calibri"/>
        </w:rPr>
        <w:t>55%</w:t>
      </w:r>
      <w:r w:rsidR="00E71485">
        <w:rPr>
          <w:rFonts w:cs="Calibri"/>
        </w:rPr>
        <w:t>,</w:t>
      </w:r>
      <w:r w:rsidR="0099696F">
        <w:rPr>
          <w:rFonts w:cs="Calibri"/>
        </w:rPr>
        <w:t xml:space="preserve"> giving rise to a CVD </w:t>
      </w:r>
      <w:r w:rsidRPr="003074E2">
        <w:rPr>
          <w:rFonts w:cs="Calibri"/>
        </w:rPr>
        <w:t>risk reduction of 23% per mmol/L lowering in LDL cholesterol irrespective of baseline levels of LDL cholesterol, TG</w:t>
      </w:r>
      <w:r w:rsidR="00DA0A83">
        <w:rPr>
          <w:rFonts w:cs="Calibri"/>
        </w:rPr>
        <w:t>,</w:t>
      </w:r>
      <w:r w:rsidRPr="003074E2">
        <w:rPr>
          <w:rFonts w:cs="Calibri"/>
        </w:rPr>
        <w:t xml:space="preserve"> or HDL cholesterol</w:t>
      </w:r>
      <w:r w:rsidR="00B36720">
        <w:rPr>
          <w:rFonts w:cs="Calibri"/>
        </w:rPr>
        <w:t>,</w:t>
      </w:r>
      <w:r w:rsidR="00A57D0A" w:rsidRPr="00997DBF">
        <w:rPr>
          <w:rFonts w:cs="Calibri"/>
          <w:vertAlign w:val="superscript"/>
        </w:rPr>
        <w:t>4</w:t>
      </w:r>
      <w:r w:rsidR="00BC74DE">
        <w:rPr>
          <w:rFonts w:cs="Calibri"/>
          <w:vertAlign w:val="superscript"/>
        </w:rPr>
        <w:t>7</w:t>
      </w:r>
      <w:r w:rsidR="00D856DE">
        <w:rPr>
          <w:rFonts w:cs="Calibri"/>
        </w:rPr>
        <w:t xml:space="preserve"> so their use in patients with HTG is justifiable based on their proven ability to reduce CVD</w:t>
      </w:r>
      <w:r w:rsidRPr="003074E2">
        <w:rPr>
          <w:rFonts w:cs="Calibri"/>
        </w:rPr>
        <w:t xml:space="preserve">. </w:t>
      </w:r>
      <w:r w:rsidR="00E71485">
        <w:rPr>
          <w:rFonts w:cs="Calibri"/>
        </w:rPr>
        <w:t xml:space="preserve">They also </w:t>
      </w:r>
      <w:r w:rsidR="00D856DE">
        <w:rPr>
          <w:rFonts w:cs="Calibri"/>
        </w:rPr>
        <w:t xml:space="preserve">variably </w:t>
      </w:r>
      <w:r w:rsidR="00E71485">
        <w:rPr>
          <w:rFonts w:cs="Calibri"/>
        </w:rPr>
        <w:t>reduce plasma TG levels by up to 30%</w:t>
      </w:r>
      <w:r w:rsidR="00F83426">
        <w:rPr>
          <w:rFonts w:cs="Calibri"/>
        </w:rPr>
        <w:t xml:space="preserve">, </w:t>
      </w:r>
      <w:r w:rsidR="00D856DE">
        <w:rPr>
          <w:rFonts w:cs="Calibri"/>
        </w:rPr>
        <w:t xml:space="preserve">with </w:t>
      </w:r>
      <w:r w:rsidR="00BA7AE2">
        <w:rPr>
          <w:rFonts w:cs="Calibri"/>
        </w:rPr>
        <w:t>reductions dependent on the baseline TG level and dose of statin used</w:t>
      </w:r>
      <w:r w:rsidR="00E71485">
        <w:rPr>
          <w:rFonts w:cs="Calibri"/>
        </w:rPr>
        <w:t xml:space="preserve">. </w:t>
      </w:r>
      <w:r w:rsidRPr="003074E2">
        <w:rPr>
          <w:rFonts w:cs="Calibri"/>
        </w:rPr>
        <w:t>T</w:t>
      </w:r>
      <w:r w:rsidR="00173214">
        <w:rPr>
          <w:rFonts w:cs="Calibri"/>
        </w:rPr>
        <w:t>o achieve recommended targets, t</w:t>
      </w:r>
      <w:r w:rsidRPr="003074E2">
        <w:rPr>
          <w:rFonts w:cs="Calibri"/>
        </w:rPr>
        <w:t xml:space="preserve">he choice of statin should be based </w:t>
      </w:r>
      <w:r w:rsidR="009D3619">
        <w:rPr>
          <w:rFonts w:cs="Calibri"/>
        </w:rPr>
        <w:t xml:space="preserve">on efficacy </w:t>
      </w:r>
      <w:r w:rsidRPr="003074E2">
        <w:rPr>
          <w:rFonts w:cs="Calibri"/>
        </w:rPr>
        <w:t xml:space="preserve">in LDL cholesterol </w:t>
      </w:r>
      <w:r w:rsidR="00173214">
        <w:rPr>
          <w:rFonts w:cs="Calibri"/>
        </w:rPr>
        <w:t>reduction</w:t>
      </w:r>
      <w:r w:rsidR="00CB09CD">
        <w:rPr>
          <w:rFonts w:cs="Calibri"/>
        </w:rPr>
        <w:t>, taking into account safety considerations</w:t>
      </w:r>
      <w:r w:rsidR="00B36720">
        <w:rPr>
          <w:rFonts w:cs="Calibri"/>
        </w:rPr>
        <w:t>.</w:t>
      </w:r>
      <w:r w:rsidR="00A57D0A" w:rsidRPr="00997DBF">
        <w:rPr>
          <w:rFonts w:cs="Calibri"/>
          <w:vertAlign w:val="superscript"/>
        </w:rPr>
        <w:t>6,7</w:t>
      </w:r>
      <w:r w:rsidRPr="003074E2">
        <w:rPr>
          <w:rFonts w:cs="Calibri"/>
        </w:rPr>
        <w:t xml:space="preserve"> In HTG, </w:t>
      </w:r>
      <w:r w:rsidR="00D856DE">
        <w:rPr>
          <w:rFonts w:cs="Calibri"/>
        </w:rPr>
        <w:t xml:space="preserve">because LDL cholesterol often cannot be determined, </w:t>
      </w:r>
      <w:r w:rsidR="00F83426" w:rsidRPr="003074E2">
        <w:rPr>
          <w:rFonts w:cs="Calibri"/>
        </w:rPr>
        <w:t>achiev</w:t>
      </w:r>
      <w:r w:rsidR="00F83426">
        <w:rPr>
          <w:rFonts w:cs="Calibri"/>
        </w:rPr>
        <w:t>ing</w:t>
      </w:r>
      <w:r w:rsidR="00F83426" w:rsidRPr="003074E2">
        <w:rPr>
          <w:rFonts w:cs="Calibri"/>
        </w:rPr>
        <w:t xml:space="preserve"> non-HDL cholesterol or apoB </w:t>
      </w:r>
      <w:r w:rsidR="00F83426">
        <w:rPr>
          <w:rFonts w:cs="Calibri"/>
        </w:rPr>
        <w:t xml:space="preserve">targets should also be a goal of </w:t>
      </w:r>
      <w:r w:rsidR="006A3E25">
        <w:rPr>
          <w:rFonts w:cs="Calibri"/>
        </w:rPr>
        <w:t>treatment</w:t>
      </w:r>
      <w:r w:rsidR="00B36720">
        <w:rPr>
          <w:rFonts w:cs="Calibri"/>
        </w:rPr>
        <w:t>.</w:t>
      </w:r>
      <w:r w:rsidR="00A57D0A" w:rsidRPr="00997DBF">
        <w:rPr>
          <w:rFonts w:cs="Calibri"/>
          <w:vertAlign w:val="superscript"/>
        </w:rPr>
        <w:t>4</w:t>
      </w:r>
      <w:r w:rsidR="00BC74DE">
        <w:rPr>
          <w:rFonts w:cs="Calibri"/>
          <w:vertAlign w:val="superscript"/>
        </w:rPr>
        <w:t>8</w:t>
      </w:r>
      <w:r w:rsidRPr="003074E2">
        <w:rPr>
          <w:rFonts w:cs="Calibri"/>
        </w:rPr>
        <w:t xml:space="preserve"> </w:t>
      </w:r>
    </w:p>
    <w:p w:rsidR="00896E71" w:rsidRDefault="00896E71" w:rsidP="00A70A16">
      <w:pPr>
        <w:spacing w:after="0"/>
        <w:rPr>
          <w:rFonts w:cs="Calibri"/>
        </w:rPr>
      </w:pPr>
    </w:p>
    <w:p w:rsidR="002D1A79" w:rsidRPr="00896E71" w:rsidRDefault="002D1A79" w:rsidP="00A70A16">
      <w:pPr>
        <w:spacing w:after="0"/>
        <w:rPr>
          <w:rFonts w:cs="Calibri"/>
          <w:b/>
          <w:i/>
          <w:color w:val="C00000"/>
        </w:rPr>
      </w:pPr>
      <w:r w:rsidRPr="00896E71">
        <w:rPr>
          <w:rFonts w:cs="Calibri"/>
          <w:b/>
          <w:i/>
          <w:color w:val="C00000"/>
        </w:rPr>
        <w:t>Fibrates</w:t>
      </w:r>
    </w:p>
    <w:p w:rsidR="002D1A79" w:rsidRDefault="002D1A79" w:rsidP="00A70A16">
      <w:pPr>
        <w:spacing w:after="0"/>
        <w:rPr>
          <w:rFonts w:cs="Calibri"/>
        </w:rPr>
      </w:pPr>
      <w:r w:rsidRPr="003074E2">
        <w:rPr>
          <w:rFonts w:cs="Calibri"/>
        </w:rPr>
        <w:t xml:space="preserve">With a TG-lowering effect of 40%, </w:t>
      </w:r>
      <w:r w:rsidR="003920FB">
        <w:rPr>
          <w:rFonts w:cs="Calibri"/>
        </w:rPr>
        <w:t>depending on baseline TG levels, f</w:t>
      </w:r>
      <w:r w:rsidRPr="003074E2">
        <w:rPr>
          <w:rFonts w:cs="Calibri"/>
        </w:rPr>
        <w:t xml:space="preserve">ibrates are considered first line treatment </w:t>
      </w:r>
      <w:r w:rsidR="009700AC">
        <w:rPr>
          <w:rFonts w:cs="Calibri"/>
        </w:rPr>
        <w:t xml:space="preserve">to decrease </w:t>
      </w:r>
      <w:r w:rsidRPr="003074E2">
        <w:rPr>
          <w:rFonts w:cs="Calibri"/>
        </w:rPr>
        <w:t xml:space="preserve">the risk of pancreatitis </w:t>
      </w:r>
      <w:r w:rsidR="009700AC">
        <w:rPr>
          <w:rFonts w:cs="Calibri"/>
        </w:rPr>
        <w:t>for</w:t>
      </w:r>
      <w:r w:rsidRPr="003074E2">
        <w:rPr>
          <w:rFonts w:cs="Calibri"/>
        </w:rPr>
        <w:t xml:space="preserve"> TG levels &gt;10 mmol/L. Although controversial, a meta-analysis including </w:t>
      </w:r>
      <w:r w:rsidR="009700AC">
        <w:rPr>
          <w:rFonts w:cs="Calibri"/>
        </w:rPr>
        <w:t>&gt;</w:t>
      </w:r>
      <w:r w:rsidRPr="003074E2">
        <w:rPr>
          <w:rFonts w:cs="Calibri"/>
        </w:rPr>
        <w:t xml:space="preserve">45 000 individuals suggests that fibrates could reduce non-fatal acute coronary events and </w:t>
      </w:r>
      <w:r w:rsidR="007D2A77" w:rsidRPr="003074E2">
        <w:rPr>
          <w:rFonts w:cs="Calibri"/>
        </w:rPr>
        <w:t>revasculari</w:t>
      </w:r>
      <w:r w:rsidR="007D2A77">
        <w:rPr>
          <w:rFonts w:cs="Calibri"/>
        </w:rPr>
        <w:t>s</w:t>
      </w:r>
      <w:r w:rsidR="007D2A77" w:rsidRPr="003074E2">
        <w:rPr>
          <w:rFonts w:cs="Calibri"/>
        </w:rPr>
        <w:t xml:space="preserve">ation </w:t>
      </w:r>
      <w:r w:rsidR="003920FB">
        <w:rPr>
          <w:rFonts w:cs="Calibri"/>
        </w:rPr>
        <w:t>by ~9%</w:t>
      </w:r>
      <w:r w:rsidR="00E26378">
        <w:rPr>
          <w:rFonts w:cs="Calibri"/>
        </w:rPr>
        <w:t xml:space="preserve"> (together with </w:t>
      </w:r>
      <w:r w:rsidR="00E26378" w:rsidRPr="00E26378">
        <w:rPr>
          <w:rFonts w:cs="Calibri"/>
        </w:rPr>
        <w:t>a lack of overall effect in total and cardiovascular mortality and a non-significant increase in non-cardiovascular deaths</w:t>
      </w:r>
      <w:r w:rsidR="00E26378">
        <w:rPr>
          <w:rFonts w:cs="Calibri"/>
        </w:rPr>
        <w:t>)</w:t>
      </w:r>
      <w:r w:rsidR="00B36720">
        <w:rPr>
          <w:rFonts w:cs="Calibri"/>
        </w:rPr>
        <w:t>,</w:t>
      </w:r>
      <w:r w:rsidR="0020556D">
        <w:rPr>
          <w:rFonts w:cs="Calibri"/>
          <w:vertAlign w:val="superscript"/>
        </w:rPr>
        <w:t>23</w:t>
      </w:r>
      <w:r w:rsidRPr="003074E2">
        <w:rPr>
          <w:rFonts w:cs="Calibri"/>
        </w:rPr>
        <w:t xml:space="preserve"> particularly in subjects with TG &gt;2</w:t>
      </w:r>
      <w:r w:rsidR="00B12C96">
        <w:rPr>
          <w:rFonts w:cs="Calibri"/>
        </w:rPr>
        <w:t>·</w:t>
      </w:r>
      <w:r w:rsidR="009700AC">
        <w:rPr>
          <w:rFonts w:cs="Calibri"/>
        </w:rPr>
        <w:t>3</w:t>
      </w:r>
      <w:r w:rsidRPr="003074E2">
        <w:rPr>
          <w:rFonts w:cs="Calibri"/>
        </w:rPr>
        <w:t xml:space="preserve"> mmol/L and an HDL cholesterol &lt;1</w:t>
      </w:r>
      <w:r w:rsidR="00B12C96">
        <w:rPr>
          <w:rFonts w:cs="Calibri"/>
        </w:rPr>
        <w:t>·</w:t>
      </w:r>
      <w:r w:rsidRPr="003074E2">
        <w:rPr>
          <w:rFonts w:cs="Calibri"/>
        </w:rPr>
        <w:t>0 mmol/L</w:t>
      </w:r>
      <w:r w:rsidR="00B36720">
        <w:rPr>
          <w:rFonts w:cs="Calibri"/>
        </w:rPr>
        <w:t>.</w:t>
      </w:r>
      <w:r w:rsidR="0020556D">
        <w:rPr>
          <w:rFonts w:cs="Calibri"/>
          <w:vertAlign w:val="superscript"/>
        </w:rPr>
        <w:t>24</w:t>
      </w:r>
      <w:r w:rsidRPr="003074E2">
        <w:rPr>
          <w:rFonts w:cs="Calibri"/>
        </w:rPr>
        <w:t xml:space="preserve"> Therefore a fibrate </w:t>
      </w:r>
      <w:r w:rsidR="00F83426">
        <w:rPr>
          <w:rFonts w:cs="Calibri"/>
        </w:rPr>
        <w:t>may</w:t>
      </w:r>
      <w:r w:rsidRPr="003074E2">
        <w:rPr>
          <w:rFonts w:cs="Calibri"/>
        </w:rPr>
        <w:t xml:space="preserve"> be considered as additional therapy </w:t>
      </w:r>
      <w:r w:rsidR="003920FB">
        <w:rPr>
          <w:rFonts w:cs="Calibri"/>
        </w:rPr>
        <w:t xml:space="preserve">for individuals with </w:t>
      </w:r>
      <w:r w:rsidR="000D0148">
        <w:rPr>
          <w:rFonts w:cs="Calibri"/>
        </w:rPr>
        <w:t>high TG and low HDL cholesterol</w:t>
      </w:r>
      <w:r w:rsidR="00B36720">
        <w:rPr>
          <w:rFonts w:cs="Calibri"/>
        </w:rPr>
        <w:t>.</w:t>
      </w:r>
      <w:r w:rsidR="00974266" w:rsidRPr="00997DBF">
        <w:rPr>
          <w:rFonts w:cs="Calibri"/>
          <w:vertAlign w:val="superscript"/>
        </w:rPr>
        <w:t>3</w:t>
      </w:r>
      <w:r w:rsidRPr="003074E2">
        <w:rPr>
          <w:rFonts w:cs="Calibri"/>
        </w:rPr>
        <w:t xml:space="preserve"> </w:t>
      </w:r>
      <w:r w:rsidR="009D3619">
        <w:rPr>
          <w:rFonts w:cs="Calibri"/>
        </w:rPr>
        <w:lastRenderedPageBreak/>
        <w:t>However, i</w:t>
      </w:r>
      <w:r w:rsidR="00D04FC1">
        <w:rPr>
          <w:rFonts w:cs="Calibri"/>
        </w:rPr>
        <w:t xml:space="preserve">n monogenic HTG due to LPL </w:t>
      </w:r>
      <w:r w:rsidR="009700AC">
        <w:rPr>
          <w:rFonts w:cs="Calibri"/>
        </w:rPr>
        <w:t>deficiency</w:t>
      </w:r>
      <w:r w:rsidR="006F6591">
        <w:rPr>
          <w:rFonts w:cs="Calibri"/>
        </w:rPr>
        <w:t xml:space="preserve"> and TG &gt;20 mmol/L</w:t>
      </w:r>
      <w:r w:rsidR="00D04FC1">
        <w:rPr>
          <w:rFonts w:cs="Calibri"/>
        </w:rPr>
        <w:t>, fibrates have minimal to no clinical benefit.</w:t>
      </w:r>
    </w:p>
    <w:p w:rsidR="00896E71" w:rsidRPr="003074E2" w:rsidRDefault="00896E71" w:rsidP="00A70A16">
      <w:pPr>
        <w:spacing w:after="0"/>
        <w:rPr>
          <w:rFonts w:cs="Calibri"/>
        </w:rPr>
      </w:pPr>
    </w:p>
    <w:p w:rsidR="002D1A79" w:rsidRPr="00896E71" w:rsidRDefault="00173214" w:rsidP="00A70A16">
      <w:pPr>
        <w:spacing w:after="0"/>
        <w:rPr>
          <w:rFonts w:cs="Calibri"/>
          <w:b/>
          <w:i/>
          <w:color w:val="C00000"/>
        </w:rPr>
      </w:pPr>
      <w:r w:rsidRPr="00896E71">
        <w:rPr>
          <w:rFonts w:cs="Calibri"/>
          <w:b/>
          <w:i/>
          <w:color w:val="C00000"/>
        </w:rPr>
        <w:t>Niacin</w:t>
      </w:r>
    </w:p>
    <w:p w:rsidR="002D1A79" w:rsidRDefault="00173214" w:rsidP="00A70A16">
      <w:pPr>
        <w:spacing w:after="0"/>
        <w:rPr>
          <w:rFonts w:cs="Calibri"/>
          <w:vertAlign w:val="superscript"/>
        </w:rPr>
      </w:pPr>
      <w:r>
        <w:rPr>
          <w:rFonts w:cs="Calibri"/>
        </w:rPr>
        <w:t>Niacin (nicotinic acid)</w:t>
      </w:r>
      <w:r w:rsidR="002D1A79" w:rsidRPr="003074E2">
        <w:rPr>
          <w:rFonts w:cs="Calibri"/>
        </w:rPr>
        <w:t xml:space="preserve"> treatment at a dose of 2-3</w:t>
      </w:r>
      <w:r w:rsidR="003920FB">
        <w:rPr>
          <w:rFonts w:cs="Calibri"/>
        </w:rPr>
        <w:t xml:space="preserve"> </w:t>
      </w:r>
      <w:r w:rsidR="002D1A79" w:rsidRPr="003074E2">
        <w:rPr>
          <w:rFonts w:cs="Calibri"/>
        </w:rPr>
        <w:t xml:space="preserve">g/day is associated with </w:t>
      </w:r>
      <w:r w:rsidR="00700999">
        <w:rPr>
          <w:rFonts w:cs="Calibri"/>
        </w:rPr>
        <w:t>up to 30% reduction of TG,</w:t>
      </w:r>
      <w:r w:rsidR="002D1A79" w:rsidRPr="003074E2">
        <w:rPr>
          <w:rFonts w:cs="Calibri"/>
        </w:rPr>
        <w:t xml:space="preserve"> 20% increase in HDL cholesterol, </w:t>
      </w:r>
      <w:r w:rsidR="00700999">
        <w:rPr>
          <w:rFonts w:cs="Calibri"/>
        </w:rPr>
        <w:t xml:space="preserve">up to </w:t>
      </w:r>
      <w:r w:rsidR="002D1A79" w:rsidRPr="003074E2">
        <w:rPr>
          <w:rFonts w:cs="Calibri"/>
        </w:rPr>
        <w:t xml:space="preserve">20% lowering of LDL cholesterol, and </w:t>
      </w:r>
      <w:r w:rsidR="00700999">
        <w:rPr>
          <w:rFonts w:cs="Calibri"/>
        </w:rPr>
        <w:t xml:space="preserve">up to </w:t>
      </w:r>
      <w:r w:rsidR="002D1A79" w:rsidRPr="003074E2">
        <w:rPr>
          <w:rFonts w:cs="Calibri"/>
        </w:rPr>
        <w:t xml:space="preserve">25% reduction in </w:t>
      </w:r>
      <w:r w:rsidR="00604EB7">
        <w:rPr>
          <w:rFonts w:cs="Calibri"/>
        </w:rPr>
        <w:t>lipoprotein</w:t>
      </w:r>
      <w:r w:rsidR="002D1A79" w:rsidRPr="003074E2">
        <w:rPr>
          <w:rFonts w:cs="Calibri"/>
        </w:rPr>
        <w:t>(a). Studies of the CV</w:t>
      </w:r>
      <w:r w:rsidR="005C5E23">
        <w:rPr>
          <w:rFonts w:cs="Calibri"/>
        </w:rPr>
        <w:t>D</w:t>
      </w:r>
      <w:r w:rsidR="002D1A79" w:rsidRPr="003074E2">
        <w:rPr>
          <w:rFonts w:cs="Calibri"/>
        </w:rPr>
        <w:t xml:space="preserve"> benefits of ni</w:t>
      </w:r>
      <w:r w:rsidR="0028637F">
        <w:rPr>
          <w:rFonts w:cs="Calibri"/>
        </w:rPr>
        <w:t>acin</w:t>
      </w:r>
      <w:r w:rsidR="002D1A79" w:rsidRPr="003074E2">
        <w:rPr>
          <w:rFonts w:cs="Calibri"/>
        </w:rPr>
        <w:t xml:space="preserve"> are conflicting. </w:t>
      </w:r>
      <w:r w:rsidR="00CB09CD">
        <w:rPr>
          <w:rFonts w:cs="Calibri"/>
        </w:rPr>
        <w:t>T</w:t>
      </w:r>
      <w:r w:rsidR="002D1A79" w:rsidRPr="003074E2">
        <w:rPr>
          <w:rFonts w:cs="Calibri"/>
        </w:rPr>
        <w:t xml:space="preserve">he recent </w:t>
      </w:r>
      <w:r w:rsidR="00BA60EF">
        <w:rPr>
          <w:rFonts w:cs="Calibri"/>
        </w:rPr>
        <w:t xml:space="preserve">2011 </w:t>
      </w:r>
      <w:r w:rsidR="002D1A79" w:rsidRPr="003074E2">
        <w:rPr>
          <w:rFonts w:cs="Calibri"/>
        </w:rPr>
        <w:t xml:space="preserve">EAS </w:t>
      </w:r>
      <w:r w:rsidR="00BA60EF">
        <w:rPr>
          <w:rFonts w:cs="Calibri"/>
        </w:rPr>
        <w:t>Consensus Panel recommendations</w:t>
      </w:r>
      <w:r w:rsidR="00BA60EF" w:rsidRPr="003074E2">
        <w:rPr>
          <w:rFonts w:cs="Calibri"/>
        </w:rPr>
        <w:t xml:space="preserve"> </w:t>
      </w:r>
      <w:r w:rsidR="002D1A79" w:rsidRPr="003074E2">
        <w:rPr>
          <w:rFonts w:cs="Calibri"/>
        </w:rPr>
        <w:t>support</w:t>
      </w:r>
      <w:r w:rsidR="00CB09CD">
        <w:rPr>
          <w:rFonts w:cs="Calibri"/>
        </w:rPr>
        <w:t>ed</w:t>
      </w:r>
      <w:r w:rsidR="00541C5D">
        <w:rPr>
          <w:rFonts w:cs="Calibri"/>
        </w:rPr>
        <w:t xml:space="preserve"> the addition of niacin</w:t>
      </w:r>
      <w:r w:rsidR="002D1A79" w:rsidRPr="003074E2">
        <w:rPr>
          <w:rFonts w:cs="Calibri"/>
        </w:rPr>
        <w:t xml:space="preserve"> to statin therapy for </w:t>
      </w:r>
      <w:r w:rsidR="003074E2">
        <w:rPr>
          <w:rFonts w:cs="Calibri"/>
        </w:rPr>
        <w:t>individual</w:t>
      </w:r>
      <w:r w:rsidR="002D1A79" w:rsidRPr="003074E2">
        <w:rPr>
          <w:rFonts w:cs="Calibri"/>
        </w:rPr>
        <w:t xml:space="preserve">s not at </w:t>
      </w:r>
      <w:r>
        <w:rPr>
          <w:rFonts w:cs="Calibri"/>
        </w:rPr>
        <w:t xml:space="preserve">target </w:t>
      </w:r>
      <w:r w:rsidR="002D1A79" w:rsidRPr="003074E2">
        <w:rPr>
          <w:rFonts w:cs="Calibri"/>
        </w:rPr>
        <w:t xml:space="preserve">LDL cholesterol or non-HDL cholesterol, particularly if TG remains high and HDL cholesterol </w:t>
      </w:r>
      <w:r w:rsidR="009D3619">
        <w:rPr>
          <w:rFonts w:cs="Calibri"/>
        </w:rPr>
        <w:t xml:space="preserve">is </w:t>
      </w:r>
      <w:r w:rsidR="002D1A79" w:rsidRPr="003074E2">
        <w:rPr>
          <w:rFonts w:cs="Calibri"/>
        </w:rPr>
        <w:t>low</w:t>
      </w:r>
      <w:r w:rsidR="00B36720">
        <w:rPr>
          <w:rFonts w:cs="Calibri"/>
        </w:rPr>
        <w:t>.</w:t>
      </w:r>
      <w:r w:rsidR="00974266" w:rsidRPr="00997DBF">
        <w:rPr>
          <w:rFonts w:cs="Calibri"/>
          <w:vertAlign w:val="superscript"/>
        </w:rPr>
        <w:t>3</w:t>
      </w:r>
      <w:r w:rsidR="002D1A79" w:rsidRPr="003074E2">
        <w:rPr>
          <w:rFonts w:cs="Calibri"/>
        </w:rPr>
        <w:t xml:space="preserve"> </w:t>
      </w:r>
      <w:r w:rsidR="00CB09CD">
        <w:rPr>
          <w:rFonts w:cs="Calibri"/>
        </w:rPr>
        <w:t>C</w:t>
      </w:r>
      <w:r w:rsidR="002D1A79" w:rsidRPr="003074E2">
        <w:rPr>
          <w:rFonts w:cs="Calibri"/>
        </w:rPr>
        <w:t>ombi</w:t>
      </w:r>
      <w:r w:rsidR="0028696E">
        <w:rPr>
          <w:rFonts w:cs="Calibri"/>
        </w:rPr>
        <w:t xml:space="preserve">nation therapy that includes niacin </w:t>
      </w:r>
      <w:r w:rsidR="002D1A79" w:rsidRPr="003074E2">
        <w:rPr>
          <w:rFonts w:cs="Calibri"/>
        </w:rPr>
        <w:t xml:space="preserve">is a therapeutic option </w:t>
      </w:r>
      <w:r w:rsidR="00CB09CD">
        <w:rPr>
          <w:rFonts w:cs="Calibri"/>
        </w:rPr>
        <w:t>in statin-intolerant patients</w:t>
      </w:r>
      <w:r w:rsidR="002D1A79" w:rsidRPr="003074E2">
        <w:rPr>
          <w:rFonts w:cs="Calibri"/>
        </w:rPr>
        <w:t xml:space="preserve">. </w:t>
      </w:r>
      <w:r w:rsidR="00CB09CD">
        <w:rPr>
          <w:rFonts w:cs="Calibri"/>
        </w:rPr>
        <w:t>However, ni</w:t>
      </w:r>
      <w:r w:rsidR="0028637F">
        <w:rPr>
          <w:rFonts w:cs="Calibri"/>
        </w:rPr>
        <w:t xml:space="preserve">acin </w:t>
      </w:r>
      <w:r w:rsidR="00CB09CD">
        <w:rPr>
          <w:rFonts w:cs="Calibri"/>
        </w:rPr>
        <w:t xml:space="preserve">is no longer an option in Europe, with the withdrawal of </w:t>
      </w:r>
      <w:r w:rsidR="007D2A77">
        <w:rPr>
          <w:rFonts w:cs="Calibri"/>
        </w:rPr>
        <w:t>extended-</w:t>
      </w:r>
      <w:r w:rsidR="00CB09CD">
        <w:rPr>
          <w:rFonts w:cs="Calibri"/>
        </w:rPr>
        <w:t xml:space="preserve">release niacin/laropiprant following the announcement of </w:t>
      </w:r>
      <w:r w:rsidR="004F6735">
        <w:rPr>
          <w:rFonts w:cs="Calibri"/>
        </w:rPr>
        <w:t xml:space="preserve">negative </w:t>
      </w:r>
      <w:r w:rsidR="00CB09CD">
        <w:rPr>
          <w:rFonts w:cs="Calibri"/>
        </w:rPr>
        <w:t xml:space="preserve">results from the </w:t>
      </w:r>
      <w:r w:rsidR="00CB09CD" w:rsidRPr="00CB09CD">
        <w:rPr>
          <w:rFonts w:cs="Calibri"/>
        </w:rPr>
        <w:t>Heart Protection Study 2-Treatment of HDL to Reduce the Incidence of Vascular Events (HPS-2 THRIVE)</w:t>
      </w:r>
      <w:r w:rsidR="00CB09CD">
        <w:rPr>
          <w:rFonts w:cs="Calibri"/>
        </w:rPr>
        <w:t xml:space="preserve"> (</w:t>
      </w:r>
      <w:r w:rsidR="000D0148" w:rsidRPr="000D0148">
        <w:rPr>
          <w:rFonts w:cs="Calibri"/>
        </w:rPr>
        <w:t>http://www.ctsu.ox.ac.uk/research/mega-trials/hps2-thrive</w:t>
      </w:r>
      <w:r w:rsidR="00CB09CD">
        <w:rPr>
          <w:rFonts w:cs="Calibri"/>
        </w:rPr>
        <w:t xml:space="preserve">). </w:t>
      </w:r>
      <w:r w:rsidR="003920FB">
        <w:rPr>
          <w:rFonts w:cs="Calibri"/>
        </w:rPr>
        <w:t>Extended-release niacin remains available in North America as Niaspan.</w:t>
      </w:r>
      <w:r w:rsidR="004F6735">
        <w:rPr>
          <w:rFonts w:cs="Calibri"/>
        </w:rPr>
        <w:t xml:space="preserve"> The latter was used in the AIM</w:t>
      </w:r>
      <w:r w:rsidR="00BA7AE2">
        <w:rPr>
          <w:rFonts w:cs="Calibri"/>
        </w:rPr>
        <w:t>-</w:t>
      </w:r>
      <w:r w:rsidR="004F6735">
        <w:rPr>
          <w:rFonts w:cs="Calibri"/>
        </w:rPr>
        <w:t xml:space="preserve">HIGH study, which was also </w:t>
      </w:r>
      <w:r w:rsidR="00F16509">
        <w:rPr>
          <w:rFonts w:cs="Calibri"/>
        </w:rPr>
        <w:t>neutral</w:t>
      </w:r>
      <w:r w:rsidR="00B36720">
        <w:rPr>
          <w:rFonts w:cs="Calibri"/>
        </w:rPr>
        <w:t>.</w:t>
      </w:r>
      <w:r w:rsidR="00BC74DE">
        <w:rPr>
          <w:rFonts w:cs="Calibri"/>
          <w:vertAlign w:val="superscript"/>
        </w:rPr>
        <w:t>25</w:t>
      </w:r>
    </w:p>
    <w:p w:rsidR="00896E71" w:rsidRPr="003074E2" w:rsidRDefault="00896E71" w:rsidP="00A70A16">
      <w:pPr>
        <w:spacing w:after="0"/>
        <w:rPr>
          <w:rFonts w:cs="Calibri"/>
        </w:rPr>
      </w:pPr>
    </w:p>
    <w:p w:rsidR="002D1A79" w:rsidRPr="00896E71" w:rsidRDefault="002D1A79" w:rsidP="00A70A16">
      <w:pPr>
        <w:spacing w:after="0"/>
        <w:rPr>
          <w:rFonts w:cs="Calibri"/>
          <w:b/>
          <w:i/>
          <w:color w:val="C00000"/>
        </w:rPr>
      </w:pPr>
      <w:r w:rsidRPr="00896E71">
        <w:rPr>
          <w:rFonts w:cs="Calibri"/>
          <w:b/>
          <w:i/>
          <w:color w:val="C00000"/>
        </w:rPr>
        <w:t>Bile acid sequestrants</w:t>
      </w:r>
    </w:p>
    <w:p w:rsidR="002D1A79" w:rsidRDefault="00F83426" w:rsidP="00A70A16">
      <w:pPr>
        <w:spacing w:after="0"/>
        <w:rPr>
          <w:rFonts w:cs="Calibri"/>
        </w:rPr>
      </w:pPr>
      <w:r>
        <w:rPr>
          <w:rFonts w:cs="Calibri"/>
        </w:rPr>
        <w:t xml:space="preserve">In patients with HTG, bile acid sequestrants can often cause a further increase in </w:t>
      </w:r>
      <w:r w:rsidR="00D04FC1" w:rsidRPr="00D04FC1">
        <w:rPr>
          <w:rFonts w:cs="Calibri"/>
        </w:rPr>
        <w:t>TG levels</w:t>
      </w:r>
      <w:r>
        <w:rPr>
          <w:rFonts w:cs="Calibri"/>
        </w:rPr>
        <w:t xml:space="preserve">, so these agents </w:t>
      </w:r>
      <w:r w:rsidR="00D04FC1" w:rsidRPr="00D04FC1">
        <w:rPr>
          <w:rFonts w:cs="Calibri"/>
        </w:rPr>
        <w:t xml:space="preserve">should be </w:t>
      </w:r>
      <w:r>
        <w:rPr>
          <w:rFonts w:cs="Calibri"/>
        </w:rPr>
        <w:t>used with caution in HTG</w:t>
      </w:r>
      <w:r w:rsidR="00D04FC1" w:rsidRPr="00D04FC1">
        <w:rPr>
          <w:rFonts w:cs="Calibri"/>
        </w:rPr>
        <w:t xml:space="preserve">. </w:t>
      </w:r>
      <w:r w:rsidR="008419B7">
        <w:rPr>
          <w:rFonts w:cs="Calibri"/>
        </w:rPr>
        <w:t>Co</w:t>
      </w:r>
      <w:r w:rsidR="002D1A79" w:rsidRPr="003074E2">
        <w:rPr>
          <w:rFonts w:cs="Calibri"/>
        </w:rPr>
        <w:t xml:space="preserve">lesevelam </w:t>
      </w:r>
      <w:r>
        <w:rPr>
          <w:rFonts w:cs="Calibri"/>
        </w:rPr>
        <w:t xml:space="preserve">can </w:t>
      </w:r>
      <w:r w:rsidR="002D1A79" w:rsidRPr="003074E2">
        <w:rPr>
          <w:rFonts w:cs="Calibri"/>
        </w:rPr>
        <w:t>reduce LDL cholesterol by 1</w:t>
      </w:r>
      <w:r w:rsidR="00E14850">
        <w:rPr>
          <w:rFonts w:cs="Calibri"/>
        </w:rPr>
        <w:t>5 - 20</w:t>
      </w:r>
      <w:r w:rsidR="00974266">
        <w:rPr>
          <w:rFonts w:cs="Calibri"/>
        </w:rPr>
        <w:t>% on top of statin therapy</w:t>
      </w:r>
      <w:r w:rsidR="00B36720">
        <w:rPr>
          <w:rFonts w:cs="Calibri"/>
        </w:rPr>
        <w:t>,</w:t>
      </w:r>
      <w:r w:rsidR="0074665D" w:rsidRPr="00997DBF">
        <w:rPr>
          <w:rFonts w:cs="Calibri"/>
          <w:vertAlign w:val="superscript"/>
        </w:rPr>
        <w:t>4</w:t>
      </w:r>
      <w:r w:rsidR="00BC74DE">
        <w:rPr>
          <w:rFonts w:cs="Calibri"/>
          <w:vertAlign w:val="superscript"/>
        </w:rPr>
        <w:t>9</w:t>
      </w:r>
      <w:r w:rsidR="002D1A79" w:rsidRPr="003074E2">
        <w:rPr>
          <w:rFonts w:cs="Calibri"/>
        </w:rPr>
        <w:t xml:space="preserve"> and </w:t>
      </w:r>
      <w:r>
        <w:rPr>
          <w:rFonts w:cs="Calibri"/>
        </w:rPr>
        <w:t>may</w:t>
      </w:r>
      <w:r w:rsidR="002D1A79" w:rsidRPr="003074E2">
        <w:rPr>
          <w:rFonts w:cs="Calibri"/>
        </w:rPr>
        <w:t xml:space="preserve"> be considered </w:t>
      </w:r>
      <w:r>
        <w:rPr>
          <w:rFonts w:cs="Calibri"/>
        </w:rPr>
        <w:t xml:space="preserve">in the context of HTG </w:t>
      </w:r>
      <w:r w:rsidR="00700999">
        <w:rPr>
          <w:rFonts w:cs="Calibri"/>
        </w:rPr>
        <w:t>for</w:t>
      </w:r>
      <w:r w:rsidR="002D1A79" w:rsidRPr="003074E2">
        <w:rPr>
          <w:rFonts w:cs="Calibri"/>
        </w:rPr>
        <w:t xml:space="preserve"> </w:t>
      </w:r>
      <w:r w:rsidR="003074E2">
        <w:rPr>
          <w:rFonts w:cs="Calibri"/>
        </w:rPr>
        <w:t>individual</w:t>
      </w:r>
      <w:r w:rsidR="002D1A79" w:rsidRPr="003074E2">
        <w:rPr>
          <w:rFonts w:cs="Calibri"/>
        </w:rPr>
        <w:t xml:space="preserve">s </w:t>
      </w:r>
      <w:r w:rsidR="00700999">
        <w:rPr>
          <w:rFonts w:cs="Calibri"/>
        </w:rPr>
        <w:t xml:space="preserve">whose </w:t>
      </w:r>
      <w:r w:rsidR="002D1A79" w:rsidRPr="003074E2">
        <w:rPr>
          <w:rFonts w:cs="Calibri"/>
        </w:rPr>
        <w:t>LDL cholesterol</w:t>
      </w:r>
      <w:r w:rsidR="00700999">
        <w:rPr>
          <w:rFonts w:cs="Calibri"/>
        </w:rPr>
        <w:t>,</w:t>
      </w:r>
      <w:r w:rsidR="002D1A79" w:rsidRPr="003074E2">
        <w:rPr>
          <w:rFonts w:cs="Calibri"/>
        </w:rPr>
        <w:t xml:space="preserve"> apoB</w:t>
      </w:r>
      <w:r w:rsidR="00F603DE">
        <w:rPr>
          <w:rFonts w:cs="Calibri"/>
        </w:rPr>
        <w:t>,</w:t>
      </w:r>
      <w:r w:rsidR="002D1A79" w:rsidRPr="003074E2">
        <w:rPr>
          <w:rFonts w:cs="Calibri"/>
        </w:rPr>
        <w:t xml:space="preserve"> or non-HDL cholesterol </w:t>
      </w:r>
      <w:r w:rsidR="00700999">
        <w:rPr>
          <w:rFonts w:cs="Calibri"/>
        </w:rPr>
        <w:t>are not at target</w:t>
      </w:r>
      <w:r w:rsidR="00173214">
        <w:rPr>
          <w:rFonts w:cs="Calibri"/>
        </w:rPr>
        <w:t xml:space="preserve"> levels</w:t>
      </w:r>
      <w:r w:rsidR="00700999">
        <w:rPr>
          <w:rFonts w:cs="Calibri"/>
        </w:rPr>
        <w:t xml:space="preserve">, </w:t>
      </w:r>
      <w:r w:rsidR="002D1A79" w:rsidRPr="003074E2">
        <w:rPr>
          <w:rFonts w:cs="Calibri"/>
        </w:rPr>
        <w:t>or in statin intolerant subjects</w:t>
      </w:r>
      <w:r w:rsidR="00D04FC1">
        <w:rPr>
          <w:rFonts w:cs="Calibri"/>
        </w:rPr>
        <w:t>.</w:t>
      </w:r>
    </w:p>
    <w:p w:rsidR="00896E71" w:rsidRPr="003074E2" w:rsidRDefault="00896E71" w:rsidP="00A70A16">
      <w:pPr>
        <w:spacing w:after="0"/>
        <w:rPr>
          <w:rFonts w:cs="Calibri"/>
        </w:rPr>
      </w:pPr>
    </w:p>
    <w:p w:rsidR="002D1A79" w:rsidRPr="00896E71" w:rsidRDefault="002D1A79" w:rsidP="00A70A16">
      <w:pPr>
        <w:spacing w:after="0"/>
        <w:rPr>
          <w:rFonts w:cs="Calibri"/>
          <w:b/>
          <w:i/>
          <w:color w:val="C00000"/>
        </w:rPr>
      </w:pPr>
      <w:r w:rsidRPr="00896E71">
        <w:rPr>
          <w:rFonts w:cs="Calibri"/>
          <w:b/>
          <w:i/>
          <w:color w:val="C00000"/>
        </w:rPr>
        <w:lastRenderedPageBreak/>
        <w:t>Omega 3</w:t>
      </w:r>
      <w:r w:rsidR="00014004" w:rsidRPr="00896E71">
        <w:rPr>
          <w:rFonts w:cs="Calibri"/>
          <w:b/>
          <w:i/>
          <w:color w:val="C00000"/>
        </w:rPr>
        <w:t xml:space="preserve"> fatty acids</w:t>
      </w:r>
    </w:p>
    <w:p w:rsidR="002D1A79" w:rsidRDefault="002D1A79" w:rsidP="00A70A16">
      <w:pPr>
        <w:spacing w:after="0"/>
        <w:rPr>
          <w:rFonts w:cs="Calibri"/>
        </w:rPr>
      </w:pPr>
      <w:r w:rsidRPr="003074E2">
        <w:rPr>
          <w:rFonts w:cs="Calibri"/>
        </w:rPr>
        <w:t xml:space="preserve">Omega 3 polyunsaturated fatty acids </w:t>
      </w:r>
      <w:r w:rsidR="00F83426">
        <w:rPr>
          <w:rFonts w:cs="Calibri"/>
        </w:rPr>
        <w:t xml:space="preserve">at doses up to 4 g daily </w:t>
      </w:r>
      <w:r w:rsidRPr="003074E2">
        <w:rPr>
          <w:rFonts w:cs="Calibri"/>
        </w:rPr>
        <w:t xml:space="preserve">reduce TG levels by </w:t>
      </w:r>
      <w:r w:rsidR="00700999">
        <w:rPr>
          <w:rFonts w:cs="Calibri"/>
        </w:rPr>
        <w:t xml:space="preserve">up to </w:t>
      </w:r>
      <w:r w:rsidRPr="003074E2">
        <w:rPr>
          <w:rFonts w:cs="Calibri"/>
        </w:rPr>
        <w:t>30%</w:t>
      </w:r>
      <w:r w:rsidR="00E14850">
        <w:rPr>
          <w:rFonts w:cs="Calibri"/>
        </w:rPr>
        <w:t>, depending on baseline levels,</w:t>
      </w:r>
      <w:r w:rsidRPr="003074E2">
        <w:rPr>
          <w:rFonts w:cs="Calibri"/>
        </w:rPr>
        <w:t xml:space="preserve"> and may therefore be useful for prevention of </w:t>
      </w:r>
      <w:r w:rsidRPr="003074E2">
        <w:rPr>
          <w:rFonts w:cs="Calibri"/>
        </w:rPr>
        <w:lastRenderedPageBreak/>
        <w:t>pancreatitis</w:t>
      </w:r>
      <w:r w:rsidR="00B36720">
        <w:rPr>
          <w:rFonts w:cs="Calibri"/>
        </w:rPr>
        <w:t>.</w:t>
      </w:r>
      <w:r w:rsidR="00F83426" w:rsidRPr="00997DBF">
        <w:rPr>
          <w:rFonts w:cs="Calibri"/>
          <w:vertAlign w:val="superscript"/>
        </w:rPr>
        <w:t>4</w:t>
      </w:r>
      <w:r w:rsidRPr="003074E2">
        <w:rPr>
          <w:rFonts w:cs="Calibri"/>
        </w:rPr>
        <w:t xml:space="preserve"> A recently published meta-analysis showed that omega-3 supplementation was not significantly associated with </w:t>
      </w:r>
      <w:r w:rsidR="00F83426">
        <w:rPr>
          <w:rFonts w:cs="Calibri"/>
        </w:rPr>
        <w:t xml:space="preserve">reductions in </w:t>
      </w:r>
      <w:r w:rsidRPr="003074E2">
        <w:rPr>
          <w:rFonts w:cs="Calibri"/>
        </w:rPr>
        <w:t>all-cause mortality, myocardial infarction</w:t>
      </w:r>
      <w:r w:rsidR="00DA0A83">
        <w:rPr>
          <w:rFonts w:cs="Calibri"/>
        </w:rPr>
        <w:t>,</w:t>
      </w:r>
      <w:r w:rsidRPr="003074E2">
        <w:rPr>
          <w:rFonts w:cs="Calibri"/>
        </w:rPr>
        <w:t xml:space="preserve"> or stroke</w:t>
      </w:r>
      <w:r w:rsidR="00B36720">
        <w:rPr>
          <w:rFonts w:cs="Calibri"/>
        </w:rPr>
        <w:t>.</w:t>
      </w:r>
      <w:r w:rsidR="00BC74DE">
        <w:rPr>
          <w:rFonts w:cs="Calibri"/>
          <w:vertAlign w:val="superscript"/>
        </w:rPr>
        <w:t>26</w:t>
      </w:r>
      <w:r w:rsidRPr="003074E2">
        <w:rPr>
          <w:rFonts w:cs="Calibri"/>
        </w:rPr>
        <w:t xml:space="preserve"> </w:t>
      </w:r>
    </w:p>
    <w:p w:rsidR="00BF57A9" w:rsidRDefault="00BF57A9" w:rsidP="00A70A16">
      <w:pPr>
        <w:spacing w:after="0"/>
        <w:rPr>
          <w:rFonts w:cs="Calibri"/>
        </w:rPr>
        <w:sectPr w:rsidR="00BF57A9" w:rsidSect="00BF57A9">
          <w:type w:val="continuous"/>
          <w:pgSz w:w="12240" w:h="15840"/>
          <w:pgMar w:top="1440" w:right="1440" w:bottom="1440" w:left="1440" w:header="708" w:footer="708" w:gutter="0"/>
          <w:cols w:num="2" w:space="708"/>
          <w:docGrid w:linePitch="360"/>
        </w:sectPr>
      </w:pPr>
    </w:p>
    <w:p w:rsidR="00896E71" w:rsidRDefault="00896E71" w:rsidP="00A70A16">
      <w:pPr>
        <w:spacing w:after="0"/>
        <w:rPr>
          <w:rFonts w:cs="Calibri"/>
        </w:rPr>
      </w:pPr>
    </w:p>
    <w:p w:rsidR="00410AC4" w:rsidRPr="00E87454" w:rsidRDefault="00410AC4" w:rsidP="00410AC4">
      <w:pPr>
        <w:rPr>
          <w:b/>
          <w:color w:val="C00000"/>
        </w:rPr>
      </w:pPr>
      <w:r w:rsidRPr="00E87454">
        <w:rPr>
          <w:b/>
          <w:color w:val="C00000"/>
        </w:rPr>
        <w:t xml:space="preserve">Table </w:t>
      </w:r>
      <w:r>
        <w:rPr>
          <w:b/>
          <w:color w:val="C00000"/>
        </w:rPr>
        <w:t>3</w:t>
      </w:r>
      <w:r w:rsidRPr="00E87454">
        <w:rPr>
          <w:b/>
          <w:color w:val="C00000"/>
        </w:rPr>
        <w:t>. Treatment strategies in hypertriglyceridaemia</w:t>
      </w:r>
    </w:p>
    <w:tbl>
      <w:tblPr>
        <w:tblW w:w="11199" w:type="dxa"/>
        <w:tblInd w:w="-743" w:type="dxa"/>
        <w:tblBorders>
          <w:bottom w:val="single" w:sz="4" w:space="0" w:color="auto"/>
        </w:tblBorders>
        <w:shd w:val="clear" w:color="auto" w:fill="F8ECEC"/>
        <w:tblLook w:val="01E0"/>
      </w:tblPr>
      <w:tblGrid>
        <w:gridCol w:w="1574"/>
        <w:gridCol w:w="2363"/>
        <w:gridCol w:w="7262"/>
      </w:tblGrid>
      <w:tr w:rsidR="00410AC4" w:rsidRPr="00E87454" w:rsidTr="006D52E0">
        <w:tc>
          <w:tcPr>
            <w:tcW w:w="1574" w:type="dxa"/>
            <w:tcBorders>
              <w:top w:val="single" w:sz="4" w:space="0" w:color="auto"/>
              <w:left w:val="single" w:sz="4" w:space="0" w:color="auto"/>
              <w:bottom w:val="single" w:sz="4" w:space="0" w:color="auto"/>
              <w:right w:val="nil"/>
            </w:tcBorders>
            <w:shd w:val="clear" w:color="auto" w:fill="F8ECEC"/>
            <w:hideMark/>
          </w:tcPr>
          <w:p w:rsidR="00410AC4" w:rsidRPr="00E87454" w:rsidRDefault="00410AC4" w:rsidP="000F7FA8">
            <w:pPr>
              <w:spacing w:after="0"/>
              <w:rPr>
                <w:b/>
                <w:sz w:val="20"/>
                <w:szCs w:val="20"/>
              </w:rPr>
            </w:pPr>
            <w:r w:rsidRPr="00E87454">
              <w:rPr>
                <w:b/>
                <w:sz w:val="20"/>
                <w:szCs w:val="20"/>
              </w:rPr>
              <w:t>Triglyceride level</w:t>
            </w:r>
          </w:p>
        </w:tc>
        <w:tc>
          <w:tcPr>
            <w:tcW w:w="2363" w:type="dxa"/>
            <w:tcBorders>
              <w:top w:val="single" w:sz="4" w:space="0" w:color="auto"/>
              <w:left w:val="nil"/>
              <w:bottom w:val="single" w:sz="4" w:space="0" w:color="auto"/>
              <w:right w:val="nil"/>
            </w:tcBorders>
            <w:shd w:val="clear" w:color="auto" w:fill="F8ECEC"/>
            <w:hideMark/>
          </w:tcPr>
          <w:p w:rsidR="00410AC4" w:rsidRPr="00E87454" w:rsidRDefault="00410AC4" w:rsidP="000F7FA8">
            <w:pPr>
              <w:spacing w:after="0"/>
              <w:rPr>
                <w:b/>
                <w:sz w:val="20"/>
                <w:szCs w:val="20"/>
              </w:rPr>
            </w:pPr>
            <w:r w:rsidRPr="00E87454">
              <w:rPr>
                <w:b/>
                <w:sz w:val="20"/>
                <w:szCs w:val="20"/>
              </w:rPr>
              <w:t>Therapeutic goal</w:t>
            </w:r>
          </w:p>
        </w:tc>
        <w:tc>
          <w:tcPr>
            <w:tcW w:w="7262" w:type="dxa"/>
            <w:tcBorders>
              <w:top w:val="single" w:sz="4" w:space="0" w:color="auto"/>
              <w:left w:val="nil"/>
              <w:bottom w:val="single" w:sz="4" w:space="0" w:color="auto"/>
              <w:right w:val="single" w:sz="4" w:space="0" w:color="auto"/>
            </w:tcBorders>
            <w:shd w:val="clear" w:color="auto" w:fill="F8ECEC"/>
            <w:hideMark/>
          </w:tcPr>
          <w:p w:rsidR="00410AC4" w:rsidRPr="00E87454" w:rsidRDefault="00410AC4" w:rsidP="000F7FA8">
            <w:pPr>
              <w:spacing w:after="0"/>
              <w:rPr>
                <w:b/>
                <w:sz w:val="20"/>
                <w:szCs w:val="20"/>
              </w:rPr>
            </w:pPr>
            <w:r w:rsidRPr="00E87454">
              <w:rPr>
                <w:b/>
                <w:sz w:val="20"/>
                <w:szCs w:val="20"/>
              </w:rPr>
              <w:t>Therapeutic strategies</w:t>
            </w:r>
          </w:p>
        </w:tc>
      </w:tr>
      <w:tr w:rsidR="00410AC4" w:rsidRPr="00E87454" w:rsidTr="006D52E0">
        <w:tc>
          <w:tcPr>
            <w:tcW w:w="1574" w:type="dxa"/>
            <w:tcBorders>
              <w:top w:val="single" w:sz="4" w:space="0" w:color="auto"/>
              <w:left w:val="single" w:sz="4" w:space="0" w:color="auto"/>
              <w:bottom w:val="nil"/>
              <w:right w:val="nil"/>
            </w:tcBorders>
            <w:shd w:val="clear" w:color="auto" w:fill="F8ECEC"/>
            <w:hideMark/>
          </w:tcPr>
          <w:p w:rsidR="00410AC4" w:rsidRPr="00E87454" w:rsidRDefault="00410AC4" w:rsidP="000F7FA8">
            <w:pPr>
              <w:spacing w:after="0"/>
              <w:rPr>
                <w:color w:val="C00000"/>
                <w:sz w:val="20"/>
                <w:szCs w:val="20"/>
              </w:rPr>
            </w:pPr>
            <w:r w:rsidRPr="00E87454">
              <w:rPr>
                <w:color w:val="C00000"/>
                <w:sz w:val="20"/>
                <w:szCs w:val="20"/>
              </w:rPr>
              <w:t>Moderately elevated                (2 - 9·9 mmol/L)</w:t>
            </w:r>
          </w:p>
          <w:p w:rsidR="00410AC4" w:rsidRPr="00E87454" w:rsidRDefault="00410AC4" w:rsidP="000F7FA8">
            <w:pPr>
              <w:spacing w:after="0"/>
              <w:rPr>
                <w:sz w:val="20"/>
                <w:szCs w:val="20"/>
              </w:rPr>
            </w:pPr>
            <w:r w:rsidRPr="00E87454">
              <w:rPr>
                <w:color w:val="C00000"/>
                <w:sz w:val="20"/>
                <w:szCs w:val="20"/>
              </w:rPr>
              <w:t>[175-885 mg/dL]</w:t>
            </w:r>
          </w:p>
        </w:tc>
        <w:tc>
          <w:tcPr>
            <w:tcW w:w="2363" w:type="dxa"/>
            <w:tcBorders>
              <w:top w:val="single" w:sz="4" w:space="0" w:color="auto"/>
              <w:left w:val="nil"/>
              <w:bottom w:val="nil"/>
              <w:right w:val="nil"/>
            </w:tcBorders>
            <w:shd w:val="clear" w:color="auto" w:fill="F8ECEC"/>
            <w:hideMark/>
          </w:tcPr>
          <w:p w:rsidR="00410AC4" w:rsidRPr="00E87454" w:rsidRDefault="00410AC4" w:rsidP="000F7FA8">
            <w:pPr>
              <w:spacing w:after="0"/>
              <w:rPr>
                <w:sz w:val="20"/>
                <w:szCs w:val="20"/>
              </w:rPr>
            </w:pPr>
            <w:r w:rsidRPr="00E87454">
              <w:rPr>
                <w:sz w:val="20"/>
                <w:szCs w:val="20"/>
              </w:rPr>
              <w:t>Priority: prevent cardiovascular disease</w:t>
            </w:r>
          </w:p>
          <w:p w:rsidR="00410AC4" w:rsidRPr="00E87454" w:rsidRDefault="00410AC4" w:rsidP="000F7FA8">
            <w:pPr>
              <w:spacing w:after="0"/>
              <w:rPr>
                <w:sz w:val="20"/>
                <w:szCs w:val="20"/>
              </w:rPr>
            </w:pPr>
            <w:r w:rsidRPr="00E87454">
              <w:rPr>
                <w:sz w:val="20"/>
                <w:szCs w:val="20"/>
              </w:rPr>
              <w:t>Primary: achieve LDL-C target</w:t>
            </w:r>
          </w:p>
          <w:p w:rsidR="00410AC4" w:rsidRPr="00E87454" w:rsidRDefault="00410AC4" w:rsidP="000F7FA8">
            <w:pPr>
              <w:spacing w:after="0"/>
              <w:rPr>
                <w:sz w:val="20"/>
                <w:szCs w:val="20"/>
              </w:rPr>
            </w:pPr>
            <w:r w:rsidRPr="00E87454">
              <w:rPr>
                <w:sz w:val="20"/>
                <w:szCs w:val="20"/>
              </w:rPr>
              <w:t>Secondary: achieve non-HDL-C goal, which is 0·8 mmol/L higher than LDL-C goal, or apoB &lt;0·8 g/L</w:t>
            </w:r>
          </w:p>
        </w:tc>
        <w:tc>
          <w:tcPr>
            <w:tcW w:w="7262" w:type="dxa"/>
            <w:tcBorders>
              <w:top w:val="single" w:sz="4" w:space="0" w:color="auto"/>
              <w:left w:val="nil"/>
              <w:bottom w:val="nil"/>
              <w:right w:val="single" w:sz="4" w:space="0" w:color="auto"/>
            </w:tcBorders>
            <w:shd w:val="clear" w:color="auto" w:fill="F8ECEC"/>
            <w:hideMark/>
          </w:tcPr>
          <w:p w:rsidR="00410AC4" w:rsidRPr="00E87454" w:rsidRDefault="00410AC4" w:rsidP="000F7FA8">
            <w:pPr>
              <w:spacing w:after="0"/>
              <w:rPr>
                <w:sz w:val="20"/>
                <w:szCs w:val="20"/>
              </w:rPr>
            </w:pPr>
            <w:r w:rsidRPr="00E87454">
              <w:rPr>
                <w:sz w:val="20"/>
                <w:szCs w:val="20"/>
              </w:rPr>
              <w:t xml:space="preserve">Rule out and treat secondary factors </w:t>
            </w:r>
          </w:p>
          <w:p w:rsidR="00410AC4" w:rsidRPr="00E87454" w:rsidRDefault="00410AC4" w:rsidP="000F7FA8">
            <w:pPr>
              <w:spacing w:after="0"/>
              <w:rPr>
                <w:sz w:val="20"/>
                <w:szCs w:val="20"/>
              </w:rPr>
            </w:pPr>
            <w:r w:rsidRPr="00E87454">
              <w:rPr>
                <w:sz w:val="20"/>
                <w:szCs w:val="20"/>
              </w:rPr>
              <w:t>Non-pharmacologic strategies: reduce body weight, reduce alcohol intake, reduce simple sugar intake, increase aerobic activity, reduce total carbohydrate, replace trans and saturated fats with monounsaturated fats, increase dietary omega-3 fatty acids</w:t>
            </w:r>
          </w:p>
          <w:p w:rsidR="00410AC4" w:rsidRPr="00E87454" w:rsidRDefault="00410AC4" w:rsidP="000F7FA8">
            <w:pPr>
              <w:spacing w:after="0"/>
              <w:rPr>
                <w:sz w:val="20"/>
                <w:szCs w:val="20"/>
              </w:rPr>
            </w:pPr>
            <w:r w:rsidRPr="00E87454">
              <w:rPr>
                <w:sz w:val="20"/>
                <w:szCs w:val="20"/>
              </w:rPr>
              <w:t xml:space="preserve"> Statin if necessary to control LDL-C</w:t>
            </w:r>
          </w:p>
          <w:p w:rsidR="00410AC4" w:rsidRPr="00E87454" w:rsidRDefault="00410AC4" w:rsidP="000F7FA8">
            <w:pPr>
              <w:spacing w:after="0"/>
              <w:rPr>
                <w:sz w:val="20"/>
                <w:szCs w:val="20"/>
              </w:rPr>
            </w:pPr>
            <w:r w:rsidRPr="00E87454">
              <w:rPr>
                <w:sz w:val="20"/>
                <w:szCs w:val="20"/>
              </w:rPr>
              <w:t>- if LDL-C is close to goal, titrate statin dose to achieve both LDL-C and non-HDL-C targets</w:t>
            </w:r>
          </w:p>
          <w:p w:rsidR="00410AC4" w:rsidRPr="00E87454" w:rsidRDefault="00410AC4" w:rsidP="000F7FA8">
            <w:pPr>
              <w:spacing w:after="0"/>
              <w:rPr>
                <w:sz w:val="20"/>
                <w:szCs w:val="20"/>
              </w:rPr>
            </w:pPr>
            <w:r w:rsidRPr="00E87454">
              <w:rPr>
                <w:sz w:val="20"/>
                <w:szCs w:val="20"/>
              </w:rPr>
              <w:t>- If LDL-C is at goal, but non-HDL-C is still elevated, titrate statin dose or add  fibrate, niacin, or omega-3 fatty acid</w:t>
            </w:r>
          </w:p>
        </w:tc>
      </w:tr>
      <w:tr w:rsidR="00410AC4" w:rsidRPr="00E87454" w:rsidTr="006D52E0">
        <w:tc>
          <w:tcPr>
            <w:tcW w:w="1574" w:type="dxa"/>
            <w:tcBorders>
              <w:top w:val="nil"/>
              <w:left w:val="single" w:sz="4" w:space="0" w:color="auto"/>
              <w:bottom w:val="single" w:sz="4" w:space="0" w:color="auto"/>
              <w:right w:val="nil"/>
            </w:tcBorders>
            <w:shd w:val="clear" w:color="auto" w:fill="F8ECEC"/>
            <w:hideMark/>
          </w:tcPr>
          <w:p w:rsidR="00410AC4" w:rsidRPr="00E87454" w:rsidRDefault="00410AC4" w:rsidP="000F7FA8">
            <w:pPr>
              <w:spacing w:after="0"/>
              <w:rPr>
                <w:color w:val="C00000"/>
                <w:sz w:val="20"/>
                <w:szCs w:val="20"/>
              </w:rPr>
            </w:pPr>
            <w:r w:rsidRPr="00E87454">
              <w:rPr>
                <w:color w:val="C00000"/>
                <w:sz w:val="20"/>
                <w:szCs w:val="20"/>
              </w:rPr>
              <w:t>High                       (≥10 mmol/L)</w:t>
            </w:r>
          </w:p>
          <w:p w:rsidR="00410AC4" w:rsidRPr="00E87454" w:rsidRDefault="00410AC4" w:rsidP="000F7FA8">
            <w:pPr>
              <w:spacing w:after="0"/>
              <w:rPr>
                <w:sz w:val="20"/>
                <w:szCs w:val="20"/>
              </w:rPr>
            </w:pPr>
            <w:r w:rsidRPr="00E87454">
              <w:rPr>
                <w:color w:val="C00000"/>
                <w:sz w:val="20"/>
                <w:szCs w:val="20"/>
              </w:rPr>
              <w:t>[</w:t>
            </w:r>
            <w:r w:rsidRPr="00E87454">
              <w:rPr>
                <w:color w:val="C00000"/>
                <w:sz w:val="20"/>
                <w:szCs w:val="20"/>
              </w:rPr>
              <w:sym w:font="Symbol" w:char="F0B3"/>
            </w:r>
            <w:r w:rsidRPr="00E87454">
              <w:rPr>
                <w:color w:val="C00000"/>
                <w:sz w:val="20"/>
                <w:szCs w:val="20"/>
              </w:rPr>
              <w:t xml:space="preserve"> 885 mg/dL</w:t>
            </w:r>
            <w:r w:rsidRPr="00E87454">
              <w:rPr>
                <w:sz w:val="20"/>
                <w:szCs w:val="20"/>
              </w:rPr>
              <w:t>]</w:t>
            </w:r>
          </w:p>
        </w:tc>
        <w:tc>
          <w:tcPr>
            <w:tcW w:w="2363" w:type="dxa"/>
            <w:tcBorders>
              <w:top w:val="nil"/>
              <w:left w:val="nil"/>
              <w:bottom w:val="single" w:sz="4" w:space="0" w:color="auto"/>
              <w:right w:val="nil"/>
            </w:tcBorders>
            <w:shd w:val="clear" w:color="auto" w:fill="F8ECEC"/>
            <w:hideMark/>
          </w:tcPr>
          <w:p w:rsidR="00410AC4" w:rsidRPr="00E87454" w:rsidRDefault="00410AC4" w:rsidP="000F7FA8">
            <w:pPr>
              <w:spacing w:after="0"/>
              <w:rPr>
                <w:sz w:val="20"/>
                <w:szCs w:val="20"/>
              </w:rPr>
            </w:pPr>
            <w:r w:rsidRPr="00E87454">
              <w:rPr>
                <w:sz w:val="20"/>
                <w:szCs w:val="20"/>
              </w:rPr>
              <w:t>Priority: reduce triglyceride to prevent acute pancreatitis</w:t>
            </w:r>
          </w:p>
          <w:p w:rsidR="00410AC4" w:rsidRPr="00E87454" w:rsidRDefault="00410AC4" w:rsidP="000F7FA8">
            <w:pPr>
              <w:spacing w:after="0"/>
              <w:rPr>
                <w:sz w:val="20"/>
                <w:szCs w:val="20"/>
              </w:rPr>
            </w:pPr>
            <w:r w:rsidRPr="00E87454">
              <w:rPr>
                <w:sz w:val="20"/>
                <w:szCs w:val="20"/>
              </w:rPr>
              <w:t>Other goals: achieve LDL-C and non-HDL-C goals once pancreatitis risk is decreased, as described above</w:t>
            </w:r>
          </w:p>
        </w:tc>
        <w:tc>
          <w:tcPr>
            <w:tcW w:w="7262" w:type="dxa"/>
            <w:tcBorders>
              <w:top w:val="nil"/>
              <w:left w:val="nil"/>
              <w:bottom w:val="single" w:sz="4" w:space="0" w:color="auto"/>
              <w:right w:val="single" w:sz="4" w:space="0" w:color="auto"/>
            </w:tcBorders>
            <w:shd w:val="clear" w:color="auto" w:fill="F8ECEC"/>
            <w:hideMark/>
          </w:tcPr>
          <w:p w:rsidR="00410AC4" w:rsidRPr="00E87454" w:rsidRDefault="00410AC4" w:rsidP="000F7FA8">
            <w:pPr>
              <w:spacing w:after="0"/>
              <w:rPr>
                <w:sz w:val="20"/>
                <w:szCs w:val="20"/>
              </w:rPr>
            </w:pPr>
            <w:r w:rsidRPr="00E87454">
              <w:rPr>
                <w:sz w:val="20"/>
                <w:szCs w:val="20"/>
              </w:rPr>
              <w:t xml:space="preserve">Rule out and treat secondary factors </w:t>
            </w:r>
          </w:p>
          <w:p w:rsidR="00410AC4" w:rsidRPr="00E87454" w:rsidRDefault="00410AC4" w:rsidP="000F7FA8">
            <w:pPr>
              <w:spacing w:after="0"/>
              <w:rPr>
                <w:sz w:val="20"/>
                <w:szCs w:val="20"/>
              </w:rPr>
            </w:pPr>
            <w:r w:rsidRPr="00E87454">
              <w:rPr>
                <w:sz w:val="20"/>
                <w:szCs w:val="20"/>
              </w:rPr>
              <w:t xml:space="preserve">Implement non-pharmacologic therapies: eliminate oral intake during acute pancreatitis with intravenous rehydration, then slowly re-introduce foods with small frequent meals, then longer term strict fat-reduced diet (&lt;20% of calories as fat),  reduce body weight, reduce alcohol intake, reduce simple sugar intake, reduce total carbohydrate, replace trans and saturated fats with monounsaturated fats, consider oral medium chain triglycerides; increase dietary omega-3 fatty acids; increase aerobic activity </w:t>
            </w:r>
          </w:p>
          <w:p w:rsidR="00410AC4" w:rsidRPr="00E87454" w:rsidRDefault="00410AC4" w:rsidP="000F7FA8">
            <w:pPr>
              <w:spacing w:after="0"/>
              <w:rPr>
                <w:sz w:val="20"/>
                <w:szCs w:val="20"/>
              </w:rPr>
            </w:pPr>
            <w:r w:rsidRPr="00E87454">
              <w:rPr>
                <w:sz w:val="20"/>
                <w:szCs w:val="20"/>
              </w:rPr>
              <w:t>Consider: fibrate, niacin, omega-3 fatty acids</w:t>
            </w:r>
          </w:p>
        </w:tc>
      </w:tr>
    </w:tbl>
    <w:p w:rsidR="00410AC4" w:rsidRDefault="00410AC4" w:rsidP="00410AC4">
      <w:pPr>
        <w:spacing w:after="0"/>
        <w:rPr>
          <w:sz w:val="20"/>
          <w:szCs w:val="20"/>
        </w:rPr>
      </w:pPr>
      <w:r w:rsidRPr="00E87454">
        <w:rPr>
          <w:sz w:val="20"/>
          <w:szCs w:val="20"/>
        </w:rPr>
        <w:t>apo apolipoprotein; HDL-C, high-density lipoprotein cholesterol; LDL-C, low-density lipoprotein</w:t>
      </w:r>
    </w:p>
    <w:p w:rsidR="00410AC4" w:rsidRDefault="00410AC4" w:rsidP="00A70A16">
      <w:pPr>
        <w:spacing w:after="0"/>
        <w:rPr>
          <w:rFonts w:cs="Calibri"/>
        </w:rPr>
      </w:pPr>
    </w:p>
    <w:p w:rsidR="00BF57A9" w:rsidRDefault="00BF57A9" w:rsidP="00A70A16">
      <w:pPr>
        <w:spacing w:after="0"/>
        <w:rPr>
          <w:rFonts w:cs="Calibri"/>
          <w:b/>
          <w:color w:val="C00000"/>
        </w:rPr>
        <w:sectPr w:rsidR="00BF57A9" w:rsidSect="00A25FE8">
          <w:type w:val="continuous"/>
          <w:pgSz w:w="12240" w:h="15840"/>
          <w:pgMar w:top="1440" w:right="1440" w:bottom="1440" w:left="1440" w:header="708" w:footer="708" w:gutter="0"/>
          <w:cols w:space="708"/>
          <w:docGrid w:linePitch="360"/>
        </w:sectPr>
      </w:pPr>
    </w:p>
    <w:p w:rsidR="002D1A79" w:rsidRPr="00896E71" w:rsidRDefault="002D1A79" w:rsidP="00A70A16">
      <w:pPr>
        <w:spacing w:after="0"/>
        <w:rPr>
          <w:rFonts w:cs="Calibri"/>
          <w:b/>
          <w:color w:val="C00000"/>
        </w:rPr>
      </w:pPr>
      <w:r w:rsidRPr="00896E71">
        <w:rPr>
          <w:rFonts w:cs="Calibri"/>
          <w:b/>
          <w:color w:val="C00000"/>
        </w:rPr>
        <w:lastRenderedPageBreak/>
        <w:t xml:space="preserve">Future research directions for HTG </w:t>
      </w:r>
    </w:p>
    <w:p w:rsidR="002D1A79" w:rsidRDefault="002D1A79" w:rsidP="00A70A16">
      <w:pPr>
        <w:spacing w:after="0"/>
        <w:rPr>
          <w:rFonts w:cs="Calibri"/>
        </w:rPr>
      </w:pPr>
      <w:r w:rsidRPr="0074665D">
        <w:rPr>
          <w:rFonts w:cs="Calibri"/>
        </w:rPr>
        <w:t>Recent meta-GWAS, gene-centric analys</w:t>
      </w:r>
      <w:r w:rsidR="004F6735" w:rsidRPr="0074665D">
        <w:rPr>
          <w:rFonts w:cs="Calibri"/>
        </w:rPr>
        <w:t>e</w:t>
      </w:r>
      <w:r w:rsidRPr="0074665D">
        <w:rPr>
          <w:rFonts w:cs="Calibri"/>
        </w:rPr>
        <w:t xml:space="preserve">s, and resequencing studies have begun to further expand and elucidate </w:t>
      </w:r>
      <w:r w:rsidR="008419B7" w:rsidRPr="0074665D">
        <w:rPr>
          <w:rFonts w:cs="Calibri"/>
        </w:rPr>
        <w:t xml:space="preserve">the </w:t>
      </w:r>
      <w:r w:rsidRPr="0074665D">
        <w:rPr>
          <w:rFonts w:cs="Calibri"/>
        </w:rPr>
        <w:t xml:space="preserve">genetic </w:t>
      </w:r>
      <w:r w:rsidR="009700AC" w:rsidRPr="0074665D">
        <w:rPr>
          <w:rFonts w:cs="Calibri"/>
        </w:rPr>
        <w:t>underpinnings of</w:t>
      </w:r>
      <w:r w:rsidRPr="0074665D">
        <w:rPr>
          <w:rFonts w:cs="Calibri"/>
        </w:rPr>
        <w:t xml:space="preserve"> different forms of HTG</w:t>
      </w:r>
      <w:r w:rsidR="007D2A77">
        <w:rPr>
          <w:rFonts w:cs="Calibri"/>
        </w:rPr>
        <w:t>.</w:t>
      </w:r>
      <w:r w:rsidR="0074665D" w:rsidRPr="00ED00FF">
        <w:rPr>
          <w:rFonts w:cs="Calibri"/>
          <w:vertAlign w:val="superscript"/>
        </w:rPr>
        <w:t>50</w:t>
      </w:r>
      <w:r w:rsidRPr="0074665D">
        <w:rPr>
          <w:rFonts w:cs="Calibri"/>
        </w:rPr>
        <w:t xml:space="preserve"> Incorporating this knowledge into future exome and genome sequencing studies </w:t>
      </w:r>
      <w:r w:rsidR="009700AC" w:rsidRPr="0074665D">
        <w:rPr>
          <w:rFonts w:cs="Calibri"/>
        </w:rPr>
        <w:t>might</w:t>
      </w:r>
      <w:r w:rsidRPr="0074665D">
        <w:rPr>
          <w:rFonts w:cs="Calibri"/>
        </w:rPr>
        <w:t xml:space="preserve"> facilitate </w:t>
      </w:r>
      <w:r w:rsidR="00D04FC1" w:rsidRPr="0074665D">
        <w:rPr>
          <w:rFonts w:cs="Calibri"/>
        </w:rPr>
        <w:t>identif</w:t>
      </w:r>
      <w:r w:rsidR="000C1363">
        <w:rPr>
          <w:rFonts w:cs="Calibri"/>
        </w:rPr>
        <w:t>ication</w:t>
      </w:r>
      <w:r w:rsidR="00D04FC1" w:rsidRPr="0074665D">
        <w:rPr>
          <w:rFonts w:cs="Calibri"/>
        </w:rPr>
        <w:t xml:space="preserve"> </w:t>
      </w:r>
      <w:r w:rsidR="00604EB7">
        <w:rPr>
          <w:rFonts w:cs="Calibri"/>
        </w:rPr>
        <w:t xml:space="preserve">of </w:t>
      </w:r>
      <w:r w:rsidR="00D04FC1" w:rsidRPr="0074665D">
        <w:rPr>
          <w:rFonts w:cs="Calibri"/>
        </w:rPr>
        <w:t xml:space="preserve">new candidate </w:t>
      </w:r>
      <w:r w:rsidRPr="0074665D">
        <w:rPr>
          <w:rFonts w:cs="Calibri"/>
        </w:rPr>
        <w:t>gene</w:t>
      </w:r>
      <w:r w:rsidR="00D04FC1" w:rsidRPr="0074665D">
        <w:rPr>
          <w:rFonts w:cs="Calibri"/>
        </w:rPr>
        <w:t>s</w:t>
      </w:r>
      <w:r w:rsidRPr="0074665D">
        <w:rPr>
          <w:rFonts w:cs="Calibri"/>
        </w:rPr>
        <w:t xml:space="preserve">. For example, HTG subjects and families with a high </w:t>
      </w:r>
      <w:r w:rsidR="00173214" w:rsidRPr="0074665D">
        <w:rPr>
          <w:rFonts w:cs="Calibri"/>
        </w:rPr>
        <w:t>genetic risk score</w:t>
      </w:r>
      <w:r w:rsidRPr="0074665D">
        <w:rPr>
          <w:rFonts w:cs="Calibri"/>
        </w:rPr>
        <w:t xml:space="preserve"> could be sequenced for the known TG GWAS loci to identify the full spectrum of HTG-associated variants in these regions, whereas HTG subjects and families with a low </w:t>
      </w:r>
      <w:r w:rsidR="00173214" w:rsidRPr="0074665D">
        <w:rPr>
          <w:rFonts w:cs="Calibri"/>
        </w:rPr>
        <w:t>HTG genetic risk score</w:t>
      </w:r>
      <w:r w:rsidRPr="0074665D">
        <w:rPr>
          <w:rFonts w:cs="Calibri"/>
        </w:rPr>
        <w:t xml:space="preserve"> could be </w:t>
      </w:r>
      <w:r w:rsidRPr="0074665D">
        <w:rPr>
          <w:rFonts w:cs="Calibri"/>
        </w:rPr>
        <w:lastRenderedPageBreak/>
        <w:t xml:space="preserve">sequenced </w:t>
      </w:r>
      <w:r w:rsidR="00173214" w:rsidRPr="0074665D">
        <w:rPr>
          <w:rFonts w:cs="Calibri"/>
        </w:rPr>
        <w:t>at</w:t>
      </w:r>
      <w:r w:rsidRPr="0074665D">
        <w:rPr>
          <w:rFonts w:cs="Calibri"/>
        </w:rPr>
        <w:t xml:space="preserve"> the exome or genome </w:t>
      </w:r>
      <w:r w:rsidR="00173214" w:rsidRPr="0074665D">
        <w:rPr>
          <w:rFonts w:cs="Calibri"/>
        </w:rPr>
        <w:t xml:space="preserve">level </w:t>
      </w:r>
      <w:r w:rsidRPr="0074665D">
        <w:rPr>
          <w:rFonts w:cs="Calibri"/>
        </w:rPr>
        <w:t>to identify novel variants and genes for HTG.</w:t>
      </w:r>
    </w:p>
    <w:p w:rsidR="00896E71" w:rsidRDefault="00896E71" w:rsidP="00A70A16">
      <w:pPr>
        <w:spacing w:after="0"/>
        <w:rPr>
          <w:rFonts w:cs="Calibri"/>
        </w:rPr>
      </w:pPr>
    </w:p>
    <w:p w:rsidR="002D1A79" w:rsidRDefault="0073425E" w:rsidP="00A70A16">
      <w:pPr>
        <w:spacing w:after="0"/>
        <w:rPr>
          <w:rFonts w:cs="Calibri"/>
        </w:rPr>
      </w:pPr>
      <w:r w:rsidRPr="0074665D">
        <w:rPr>
          <w:rFonts w:cs="Calibri"/>
        </w:rPr>
        <w:t xml:space="preserve">Such approaches </w:t>
      </w:r>
      <w:r w:rsidR="009700AC" w:rsidRPr="0074665D">
        <w:rPr>
          <w:rFonts w:cs="Calibri"/>
        </w:rPr>
        <w:t>might</w:t>
      </w:r>
      <w:r w:rsidRPr="0074665D">
        <w:rPr>
          <w:rFonts w:cs="Calibri"/>
        </w:rPr>
        <w:t xml:space="preserve"> offer the possibility </w:t>
      </w:r>
      <w:r w:rsidR="00BA60EF">
        <w:rPr>
          <w:rFonts w:cs="Calibri"/>
        </w:rPr>
        <w:t xml:space="preserve">of </w:t>
      </w:r>
      <w:r w:rsidR="007D2A77" w:rsidRPr="0074665D">
        <w:rPr>
          <w:rFonts w:cs="Calibri"/>
        </w:rPr>
        <w:t>personali</w:t>
      </w:r>
      <w:r w:rsidR="007D2A77">
        <w:rPr>
          <w:rFonts w:cs="Calibri"/>
        </w:rPr>
        <w:t>s</w:t>
      </w:r>
      <w:r w:rsidR="007D2A77" w:rsidRPr="0074665D">
        <w:rPr>
          <w:rFonts w:cs="Calibri"/>
        </w:rPr>
        <w:t xml:space="preserve">ed </w:t>
      </w:r>
      <w:r w:rsidR="002D1A79" w:rsidRPr="0074665D">
        <w:rPr>
          <w:rFonts w:cs="Calibri"/>
        </w:rPr>
        <w:t xml:space="preserve">medicine </w:t>
      </w:r>
      <w:r w:rsidR="008419B7" w:rsidRPr="0074665D">
        <w:rPr>
          <w:rFonts w:cs="Calibri"/>
        </w:rPr>
        <w:t xml:space="preserve">in which individuals </w:t>
      </w:r>
      <w:r w:rsidRPr="0074665D">
        <w:rPr>
          <w:rFonts w:cs="Calibri"/>
        </w:rPr>
        <w:t xml:space="preserve">with HTG </w:t>
      </w:r>
      <w:r w:rsidR="008419B7" w:rsidRPr="0074665D">
        <w:rPr>
          <w:rFonts w:cs="Calibri"/>
        </w:rPr>
        <w:t>are assessed</w:t>
      </w:r>
      <w:r w:rsidR="002D1A79" w:rsidRPr="0074665D">
        <w:rPr>
          <w:rFonts w:cs="Calibri"/>
        </w:rPr>
        <w:t>, diagnose</w:t>
      </w:r>
      <w:r w:rsidR="008419B7" w:rsidRPr="0074665D">
        <w:rPr>
          <w:rFonts w:cs="Calibri"/>
        </w:rPr>
        <w:t>d</w:t>
      </w:r>
      <w:r w:rsidR="00DA0A83">
        <w:rPr>
          <w:rFonts w:cs="Calibri"/>
        </w:rPr>
        <w:t>,</w:t>
      </w:r>
      <w:r w:rsidR="002D1A79" w:rsidRPr="0074665D">
        <w:rPr>
          <w:rFonts w:cs="Calibri"/>
        </w:rPr>
        <w:t xml:space="preserve"> and treat</w:t>
      </w:r>
      <w:r w:rsidR="008419B7" w:rsidRPr="0074665D">
        <w:rPr>
          <w:rFonts w:cs="Calibri"/>
        </w:rPr>
        <w:t>ed</w:t>
      </w:r>
      <w:r w:rsidR="002D1A79" w:rsidRPr="0074665D">
        <w:rPr>
          <w:rFonts w:cs="Calibri"/>
        </w:rPr>
        <w:t xml:space="preserve"> according to their individual genetic composition and molecular phenotype</w:t>
      </w:r>
      <w:r w:rsidR="00B36720">
        <w:rPr>
          <w:rFonts w:cs="Calibri"/>
        </w:rPr>
        <w:t>.</w:t>
      </w:r>
      <w:r w:rsidR="0074665D" w:rsidRPr="00997DBF">
        <w:rPr>
          <w:rFonts w:cs="Calibri"/>
          <w:vertAlign w:val="superscript"/>
        </w:rPr>
        <w:t>50</w:t>
      </w:r>
      <w:r w:rsidR="002D1A79" w:rsidRPr="0074665D">
        <w:rPr>
          <w:rFonts w:cs="Calibri"/>
        </w:rPr>
        <w:t xml:space="preserve"> To address the complexity of this task, systems approaches, integrating genomic, transcriptomic, proteomic, and epigenomic data with metabolic and clinical phenotypes are under development</w:t>
      </w:r>
      <w:r w:rsidR="00B36720">
        <w:rPr>
          <w:rFonts w:cs="Calibri"/>
        </w:rPr>
        <w:t>.</w:t>
      </w:r>
      <w:r w:rsidR="0074665D" w:rsidRPr="00997DBF">
        <w:rPr>
          <w:rFonts w:cs="Calibri"/>
          <w:vertAlign w:val="superscript"/>
        </w:rPr>
        <w:t>51</w:t>
      </w:r>
      <w:r w:rsidR="002D1A79" w:rsidRPr="0074665D">
        <w:rPr>
          <w:rFonts w:cs="Calibri"/>
        </w:rPr>
        <w:t xml:space="preserve"> One example is weighted co-expression network analysis (WGCNA) that </w:t>
      </w:r>
      <w:r w:rsidR="002D1A79" w:rsidRPr="0074665D">
        <w:rPr>
          <w:rFonts w:cs="Calibri"/>
        </w:rPr>
        <w:lastRenderedPageBreak/>
        <w:t>correlates gene expression and methylation networks with variants and phenotypes</w:t>
      </w:r>
      <w:r w:rsidR="00B36720">
        <w:rPr>
          <w:rFonts w:cs="Calibri"/>
        </w:rPr>
        <w:t>.</w:t>
      </w:r>
      <w:r w:rsidR="00A57D0A" w:rsidRPr="00997DBF">
        <w:rPr>
          <w:rFonts w:cs="Calibri"/>
          <w:vertAlign w:val="superscript"/>
        </w:rPr>
        <w:t>5</w:t>
      </w:r>
      <w:r w:rsidR="0074665D" w:rsidRPr="00997DBF">
        <w:rPr>
          <w:rFonts w:cs="Calibri"/>
          <w:vertAlign w:val="superscript"/>
        </w:rPr>
        <w:t>2</w:t>
      </w:r>
      <w:r w:rsidR="002D1A79" w:rsidRPr="0074665D">
        <w:rPr>
          <w:rFonts w:cs="Calibri"/>
        </w:rPr>
        <w:t xml:space="preserve"> WGCNA could provide a functionally oriented way to identify additional novel HTG-associated genes and pathways in tissues relevant to lipid metabolism.</w:t>
      </w:r>
      <w:r w:rsidRPr="0074665D">
        <w:rPr>
          <w:rFonts w:cs="Calibri"/>
        </w:rPr>
        <w:t xml:space="preserve"> However, </w:t>
      </w:r>
      <w:r w:rsidR="009700AC" w:rsidRPr="0074665D">
        <w:rPr>
          <w:rFonts w:cs="Calibri"/>
        </w:rPr>
        <w:t>for</w:t>
      </w:r>
      <w:r w:rsidRPr="0074665D">
        <w:rPr>
          <w:rFonts w:cs="Calibri"/>
        </w:rPr>
        <w:t xml:space="preserve"> many individuals with HTG, the usual treatment options will </w:t>
      </w:r>
      <w:r w:rsidR="009700AC" w:rsidRPr="0074665D">
        <w:rPr>
          <w:rFonts w:cs="Calibri"/>
        </w:rPr>
        <w:t xml:space="preserve">likely </w:t>
      </w:r>
      <w:r w:rsidRPr="0074665D">
        <w:rPr>
          <w:rFonts w:cs="Calibri"/>
        </w:rPr>
        <w:t xml:space="preserve">be </w:t>
      </w:r>
      <w:r w:rsidR="005C5E23" w:rsidRPr="0074665D">
        <w:rPr>
          <w:rFonts w:cs="Calibri"/>
        </w:rPr>
        <w:t xml:space="preserve">equally </w:t>
      </w:r>
      <w:r w:rsidRPr="0074665D">
        <w:rPr>
          <w:rFonts w:cs="Calibri"/>
        </w:rPr>
        <w:t>efficacious</w:t>
      </w:r>
      <w:r w:rsidR="009700AC" w:rsidRPr="0074665D">
        <w:rPr>
          <w:rFonts w:cs="Calibri"/>
        </w:rPr>
        <w:t>, irrespective of the</w:t>
      </w:r>
      <w:r w:rsidRPr="0074665D">
        <w:rPr>
          <w:rFonts w:cs="Calibri"/>
        </w:rPr>
        <w:t xml:space="preserve"> underlying combination</w:t>
      </w:r>
      <w:r w:rsidR="009700AC" w:rsidRPr="0074665D">
        <w:rPr>
          <w:rFonts w:cs="Calibri"/>
        </w:rPr>
        <w:t>s</w:t>
      </w:r>
      <w:r w:rsidRPr="0074665D">
        <w:rPr>
          <w:rFonts w:cs="Calibri"/>
        </w:rPr>
        <w:t xml:space="preserve"> of </w:t>
      </w:r>
      <w:r w:rsidR="009700AC" w:rsidRPr="0074665D">
        <w:rPr>
          <w:rFonts w:cs="Calibri"/>
        </w:rPr>
        <w:t>predisposing alleles</w:t>
      </w:r>
      <w:r w:rsidRPr="0074665D">
        <w:rPr>
          <w:rFonts w:cs="Calibri"/>
        </w:rPr>
        <w:t>; this hypothesis will need to be formally studied.</w:t>
      </w:r>
    </w:p>
    <w:p w:rsidR="00896E71" w:rsidRDefault="00896E71" w:rsidP="00A70A16">
      <w:pPr>
        <w:spacing w:after="0"/>
        <w:rPr>
          <w:rFonts w:cs="Calibri"/>
        </w:rPr>
      </w:pPr>
    </w:p>
    <w:p w:rsidR="002D1A79" w:rsidRDefault="009700AC" w:rsidP="00A70A16">
      <w:pPr>
        <w:spacing w:after="0"/>
      </w:pPr>
      <w:r w:rsidRPr="0074665D">
        <w:t>In addition</w:t>
      </w:r>
      <w:r w:rsidR="00A6789E" w:rsidRPr="0074665D">
        <w:t>, g</w:t>
      </w:r>
      <w:r w:rsidR="00562259" w:rsidRPr="0074665D">
        <w:t xml:space="preserve">ene </w:t>
      </w:r>
      <w:r w:rsidR="002D1A79" w:rsidRPr="0074665D">
        <w:t xml:space="preserve">therapy is being studied in </w:t>
      </w:r>
      <w:r w:rsidR="003074E2" w:rsidRPr="0074665D">
        <w:t>individual</w:t>
      </w:r>
      <w:r w:rsidR="002D1A79" w:rsidRPr="0074665D">
        <w:t>s with familial chylomicron</w:t>
      </w:r>
      <w:r w:rsidR="007D2A77">
        <w:t>a</w:t>
      </w:r>
      <w:r w:rsidR="002D1A79" w:rsidRPr="0074665D">
        <w:t xml:space="preserve">emia. Specifically, expression of a recombinant virus containing the human hyper-functional </w:t>
      </w:r>
      <w:r w:rsidR="002D1A79" w:rsidRPr="00604EB7">
        <w:rPr>
          <w:i/>
        </w:rPr>
        <w:t>LPL S447X</w:t>
      </w:r>
      <w:r w:rsidR="002D1A79" w:rsidRPr="0074665D">
        <w:t xml:space="preserve"> </w:t>
      </w:r>
      <w:r w:rsidR="00D04FC1" w:rsidRPr="0074665D">
        <w:t xml:space="preserve">variant </w:t>
      </w:r>
      <w:r w:rsidR="002D1A79" w:rsidRPr="0074665D">
        <w:t>showed promise in animal models</w:t>
      </w:r>
      <w:r w:rsidR="00B36720">
        <w:t>,</w:t>
      </w:r>
      <w:r w:rsidR="00A57D0A" w:rsidRPr="00997DBF">
        <w:rPr>
          <w:vertAlign w:val="superscript"/>
        </w:rPr>
        <w:t>5</w:t>
      </w:r>
      <w:r w:rsidR="0074665D" w:rsidRPr="00997DBF">
        <w:rPr>
          <w:vertAlign w:val="superscript"/>
        </w:rPr>
        <w:t>3</w:t>
      </w:r>
      <w:r w:rsidR="00173214" w:rsidRPr="0074665D">
        <w:t xml:space="preserve"> and e</w:t>
      </w:r>
      <w:r w:rsidR="002D1A79" w:rsidRPr="0074665D">
        <w:t xml:space="preserve">arly clinical trials in human subjects using intramuscular injections of </w:t>
      </w:r>
      <w:r w:rsidR="00D04FC1" w:rsidRPr="0074665D">
        <w:t xml:space="preserve">adeno-associated </w:t>
      </w:r>
      <w:r w:rsidR="00177AB0" w:rsidRPr="0074665D">
        <w:t>virus</w:t>
      </w:r>
      <w:r w:rsidR="00D04FC1" w:rsidRPr="0074665D">
        <w:t xml:space="preserve"> mediated</w:t>
      </w:r>
      <w:r w:rsidR="002D1A79" w:rsidRPr="0074665D">
        <w:t xml:space="preserve"> local LPL expression were associated with a transient reduction in </w:t>
      </w:r>
      <w:r w:rsidR="00A57D0A" w:rsidRPr="0074665D">
        <w:t>plasma TG levels</w:t>
      </w:r>
      <w:r w:rsidR="00B36720">
        <w:t>.</w:t>
      </w:r>
      <w:r w:rsidR="00A57D0A" w:rsidRPr="00997DBF">
        <w:rPr>
          <w:vertAlign w:val="superscript"/>
        </w:rPr>
        <w:t>5</w:t>
      </w:r>
      <w:r w:rsidR="0074665D" w:rsidRPr="00997DBF">
        <w:rPr>
          <w:vertAlign w:val="superscript"/>
        </w:rPr>
        <w:t>4</w:t>
      </w:r>
      <w:r w:rsidR="002D1A79" w:rsidRPr="0074665D">
        <w:t xml:space="preserve"> This treatment (trade name Glybera) was recently approved by the European Medicines Agency for the treatment of </w:t>
      </w:r>
      <w:r w:rsidR="009D3619" w:rsidRPr="0074665D">
        <w:t xml:space="preserve">classical </w:t>
      </w:r>
      <w:r w:rsidR="002D1A79" w:rsidRPr="0074665D">
        <w:t>HLP type 1</w:t>
      </w:r>
      <w:r w:rsidR="009D3619" w:rsidRPr="0074665D">
        <w:t xml:space="preserve"> (LPL deficiency)</w:t>
      </w:r>
      <w:r w:rsidR="002D1A79" w:rsidRPr="0074665D">
        <w:t xml:space="preserve">.  </w:t>
      </w:r>
    </w:p>
    <w:p w:rsidR="00562259" w:rsidRDefault="00562259" w:rsidP="00A70A16">
      <w:pPr>
        <w:spacing w:after="0"/>
      </w:pPr>
      <w:r w:rsidRPr="0074665D">
        <w:t xml:space="preserve">Finally, newer treatments for HTG can trace their rationale </w:t>
      </w:r>
      <w:r w:rsidR="005C5E23" w:rsidRPr="0074665D">
        <w:t xml:space="preserve">for development </w:t>
      </w:r>
      <w:r w:rsidRPr="0074665D">
        <w:t xml:space="preserve">to genetic studies </w:t>
      </w:r>
      <w:r w:rsidR="00173214" w:rsidRPr="0074665D">
        <w:t xml:space="preserve">that </w:t>
      </w:r>
      <w:r w:rsidRPr="0074665D">
        <w:t xml:space="preserve">have identified causative mutations in rare families in which severely </w:t>
      </w:r>
      <w:r w:rsidR="00943B7D" w:rsidRPr="0074665D">
        <w:t xml:space="preserve">diminished </w:t>
      </w:r>
      <w:r w:rsidRPr="0074665D">
        <w:t>TG level</w:t>
      </w:r>
      <w:r w:rsidR="00943B7D" w:rsidRPr="0074665D">
        <w:t>s</w:t>
      </w:r>
      <w:r w:rsidRPr="0074665D">
        <w:t xml:space="preserve"> a</w:t>
      </w:r>
      <w:r w:rsidR="00173214" w:rsidRPr="0074665D">
        <w:t>re part of the phenotype. For exampl</w:t>
      </w:r>
      <w:r w:rsidRPr="0074665D">
        <w:t xml:space="preserve">e, lomitapide, an inhibitor of microsomal TG transfer protein </w:t>
      </w:r>
      <w:r w:rsidR="00DA0A83">
        <w:t xml:space="preserve">(MTTP) </w:t>
      </w:r>
      <w:r w:rsidRPr="0074665D">
        <w:t xml:space="preserve">that lowers TG in addition to all apoB-containing lipoproteins, was developed because individuals with </w:t>
      </w:r>
      <w:r w:rsidR="00FA163E" w:rsidRPr="0074665D">
        <w:t xml:space="preserve">homozygous </w:t>
      </w:r>
      <w:r w:rsidRPr="0074665D">
        <w:t>mutation</w:t>
      </w:r>
      <w:r w:rsidR="00FA163E" w:rsidRPr="0074665D">
        <w:t>s</w:t>
      </w:r>
      <w:r w:rsidRPr="0074665D">
        <w:t xml:space="preserve"> in MTTP causing abetalipoprotein</w:t>
      </w:r>
      <w:r w:rsidR="007D2A77">
        <w:t>a</w:t>
      </w:r>
      <w:r w:rsidRPr="0074665D">
        <w:t>emia ha</w:t>
      </w:r>
      <w:r w:rsidR="00173214" w:rsidRPr="0074665D">
        <w:t>ve</w:t>
      </w:r>
      <w:r w:rsidRPr="0074665D">
        <w:t xml:space="preserve"> depressed TG levels</w:t>
      </w:r>
      <w:r w:rsidR="00B36720">
        <w:t>.</w:t>
      </w:r>
      <w:r w:rsidRPr="00997DBF">
        <w:rPr>
          <w:vertAlign w:val="superscript"/>
        </w:rPr>
        <w:t>5</w:t>
      </w:r>
      <w:r w:rsidR="0074665D" w:rsidRPr="00997DBF">
        <w:rPr>
          <w:vertAlign w:val="superscript"/>
        </w:rPr>
        <w:t>5</w:t>
      </w:r>
      <w:r w:rsidR="00382C7B" w:rsidRPr="0074665D">
        <w:t xml:space="preserve"> Similarly, low TG levels in other families with monogenic TG deficiency have prompted </w:t>
      </w:r>
      <w:r w:rsidR="00FA163E" w:rsidRPr="0074665D">
        <w:t xml:space="preserve">the development of </w:t>
      </w:r>
      <w:r w:rsidR="00382C7B" w:rsidRPr="0074665D">
        <w:t xml:space="preserve">new biological agents targeting </w:t>
      </w:r>
      <w:r w:rsidR="00382C7B" w:rsidRPr="00060C6C">
        <w:rPr>
          <w:i/>
        </w:rPr>
        <w:t>APOB</w:t>
      </w:r>
      <w:r w:rsidR="006A3E25">
        <w:rPr>
          <w:i/>
        </w:rPr>
        <w:t xml:space="preserve"> </w:t>
      </w:r>
      <w:r w:rsidR="006A3E25">
        <w:t>(</w:t>
      </w:r>
      <w:r w:rsidR="0074665D" w:rsidRPr="0074665D">
        <w:t>the recently approved agent mipomersen</w:t>
      </w:r>
      <w:r w:rsidR="006A3E25">
        <w:t>)</w:t>
      </w:r>
      <w:r w:rsidR="007D2A77">
        <w:t>,</w:t>
      </w:r>
      <w:r w:rsidR="00382C7B" w:rsidRPr="00ED00FF">
        <w:rPr>
          <w:vertAlign w:val="superscript"/>
        </w:rPr>
        <w:t>5</w:t>
      </w:r>
      <w:r w:rsidR="0074665D" w:rsidRPr="00ED00FF">
        <w:rPr>
          <w:vertAlign w:val="superscript"/>
        </w:rPr>
        <w:t>6</w:t>
      </w:r>
      <w:r w:rsidR="00382C7B" w:rsidRPr="0074665D">
        <w:t xml:space="preserve"> </w:t>
      </w:r>
      <w:r w:rsidR="00382C7B" w:rsidRPr="006B4CE1">
        <w:rPr>
          <w:i/>
        </w:rPr>
        <w:t>APOC3</w:t>
      </w:r>
      <w:r w:rsidR="006B4CE1">
        <w:rPr>
          <w:i/>
        </w:rPr>
        <w:t xml:space="preserve"> </w:t>
      </w:r>
      <w:r w:rsidR="00382C7B" w:rsidRPr="00ED00FF">
        <w:rPr>
          <w:vertAlign w:val="superscript"/>
        </w:rPr>
        <w:t>5</w:t>
      </w:r>
      <w:r w:rsidR="0074665D" w:rsidRPr="00ED00FF">
        <w:rPr>
          <w:vertAlign w:val="superscript"/>
        </w:rPr>
        <w:t>7</w:t>
      </w:r>
      <w:r w:rsidR="00382C7B" w:rsidRPr="0074665D">
        <w:t xml:space="preserve"> and </w:t>
      </w:r>
      <w:r w:rsidR="00382C7B" w:rsidRPr="00060C6C">
        <w:rPr>
          <w:i/>
        </w:rPr>
        <w:t>ANGPTL3</w:t>
      </w:r>
      <w:r w:rsidR="00B36720">
        <w:rPr>
          <w:i/>
        </w:rPr>
        <w:t>.</w:t>
      </w:r>
      <w:r w:rsidR="00382C7B" w:rsidRPr="00997DBF">
        <w:rPr>
          <w:vertAlign w:val="superscript"/>
        </w:rPr>
        <w:t>5</w:t>
      </w:r>
      <w:r w:rsidR="0074665D" w:rsidRPr="00997DBF">
        <w:rPr>
          <w:vertAlign w:val="superscript"/>
        </w:rPr>
        <w:t>8</w:t>
      </w:r>
      <w:r w:rsidR="00382C7B" w:rsidRPr="0074665D">
        <w:t xml:space="preserve">  </w:t>
      </w:r>
    </w:p>
    <w:p w:rsidR="002D1A79" w:rsidRPr="00410AC4" w:rsidRDefault="002D1A79" w:rsidP="00A70A16">
      <w:pPr>
        <w:spacing w:after="0"/>
        <w:rPr>
          <w:rFonts w:cs="Calibri"/>
          <w:b/>
          <w:color w:val="C00000"/>
          <w:sz w:val="24"/>
          <w:szCs w:val="24"/>
        </w:rPr>
      </w:pPr>
      <w:r w:rsidRPr="00410AC4">
        <w:rPr>
          <w:rFonts w:cs="Calibri"/>
          <w:b/>
          <w:color w:val="C00000"/>
          <w:sz w:val="24"/>
          <w:szCs w:val="24"/>
        </w:rPr>
        <w:lastRenderedPageBreak/>
        <w:t>Conclusion</w:t>
      </w:r>
      <w:r w:rsidR="004F6735" w:rsidRPr="00410AC4">
        <w:rPr>
          <w:rFonts w:cs="Calibri"/>
          <w:b/>
          <w:color w:val="C00000"/>
          <w:sz w:val="24"/>
          <w:szCs w:val="24"/>
        </w:rPr>
        <w:t xml:space="preserve"> </w:t>
      </w:r>
    </w:p>
    <w:p w:rsidR="002D1A79" w:rsidRPr="00410AC4" w:rsidRDefault="009700AC" w:rsidP="00A70A16">
      <w:pPr>
        <w:spacing w:after="0"/>
        <w:rPr>
          <w:rFonts w:cs="Calibri"/>
        </w:rPr>
      </w:pPr>
      <w:r w:rsidRPr="00410AC4">
        <w:rPr>
          <w:rFonts w:cs="Calibri"/>
        </w:rPr>
        <w:t xml:space="preserve">Diagnosing HTG is relevant because: </w:t>
      </w:r>
      <w:r w:rsidR="007308F8" w:rsidRPr="00410AC4">
        <w:rPr>
          <w:rFonts w:cs="Calibri"/>
        </w:rPr>
        <w:t>(i)</w:t>
      </w:r>
      <w:r w:rsidRPr="00410AC4">
        <w:rPr>
          <w:rFonts w:cs="Calibri"/>
        </w:rPr>
        <w:t xml:space="preserve"> even modest elevation in TG levels is usually associated with increased risk of CVD; </w:t>
      </w:r>
      <w:r w:rsidR="007308F8" w:rsidRPr="00410AC4">
        <w:rPr>
          <w:rFonts w:cs="Calibri"/>
        </w:rPr>
        <w:t>(ii)</w:t>
      </w:r>
      <w:r w:rsidRPr="00410AC4">
        <w:rPr>
          <w:rFonts w:cs="Calibri"/>
        </w:rPr>
        <w:t xml:space="preserve"> severely elevated TG are associated with increased risk of pancreatitis; and </w:t>
      </w:r>
      <w:r w:rsidR="007308F8" w:rsidRPr="00410AC4">
        <w:rPr>
          <w:rFonts w:cs="Calibri"/>
        </w:rPr>
        <w:t>(iii)</w:t>
      </w:r>
      <w:r w:rsidRPr="00410AC4">
        <w:rPr>
          <w:rFonts w:cs="Calibri"/>
        </w:rPr>
        <w:t xml:space="preserve"> HTG often </w:t>
      </w:r>
      <w:r w:rsidR="00604EB7" w:rsidRPr="00410AC4">
        <w:rPr>
          <w:rFonts w:cs="Calibri"/>
        </w:rPr>
        <w:t>co-exists</w:t>
      </w:r>
      <w:r w:rsidRPr="00410AC4">
        <w:rPr>
          <w:rFonts w:cs="Calibri"/>
        </w:rPr>
        <w:t xml:space="preserve"> with other metabolic disturbances that are associated with increased cardiometabolic risk. </w:t>
      </w:r>
      <w:r w:rsidR="00FF64CF" w:rsidRPr="00410AC4">
        <w:rPr>
          <w:rFonts w:cs="Calibri"/>
        </w:rPr>
        <w:t>Recent epidemiologic, genetic</w:t>
      </w:r>
      <w:r w:rsidR="00F603DE" w:rsidRPr="00410AC4">
        <w:rPr>
          <w:rFonts w:cs="Calibri"/>
        </w:rPr>
        <w:t>,</w:t>
      </w:r>
      <w:r w:rsidR="00FF64CF" w:rsidRPr="00410AC4">
        <w:rPr>
          <w:rFonts w:cs="Calibri"/>
        </w:rPr>
        <w:t xml:space="preserve"> and clinical trial evidence has led us to recommend a simplified definition of HTG</w:t>
      </w:r>
      <w:r w:rsidR="00821225" w:rsidRPr="00410AC4">
        <w:rPr>
          <w:rFonts w:cs="Calibri"/>
        </w:rPr>
        <w:t xml:space="preserve"> (Box </w:t>
      </w:r>
      <w:r w:rsidR="004C583F" w:rsidRPr="00410AC4">
        <w:rPr>
          <w:rFonts w:cs="Calibri"/>
        </w:rPr>
        <w:t>1</w:t>
      </w:r>
      <w:r w:rsidR="00821225" w:rsidRPr="00410AC4">
        <w:rPr>
          <w:rFonts w:cs="Calibri"/>
        </w:rPr>
        <w:t>)</w:t>
      </w:r>
      <w:r w:rsidR="00FF64CF" w:rsidRPr="00410AC4">
        <w:rPr>
          <w:rFonts w:cs="Calibri"/>
        </w:rPr>
        <w:t>, with severe HTG &gt;10 mmol/L, especially in the p</w:t>
      </w:r>
      <w:r w:rsidR="007D2A77" w:rsidRPr="00410AC4">
        <w:rPr>
          <w:rFonts w:cs="Calibri"/>
        </w:rPr>
        <w:t>a</w:t>
      </w:r>
      <w:r w:rsidR="00FF64CF" w:rsidRPr="00410AC4">
        <w:rPr>
          <w:rFonts w:cs="Calibri"/>
        </w:rPr>
        <w:t xml:space="preserve">ediatric age group, more likely to be related to monogenic causes, while </w:t>
      </w:r>
      <w:r w:rsidR="00DA0A83" w:rsidRPr="00410AC4">
        <w:rPr>
          <w:rFonts w:cs="Calibri"/>
        </w:rPr>
        <w:t>mild-to-</w:t>
      </w:r>
      <w:r w:rsidR="00FF64CF" w:rsidRPr="00410AC4">
        <w:rPr>
          <w:rFonts w:cs="Calibri"/>
        </w:rPr>
        <w:t xml:space="preserve">moderate HTG </w:t>
      </w:r>
      <w:r w:rsidRPr="00410AC4">
        <w:rPr>
          <w:rFonts w:cs="Calibri"/>
        </w:rPr>
        <w:t xml:space="preserve">of </w:t>
      </w:r>
      <w:r w:rsidR="00FF64CF" w:rsidRPr="00410AC4">
        <w:rPr>
          <w:rFonts w:cs="Calibri"/>
        </w:rPr>
        <w:t xml:space="preserve">2 - 10 mmol/L </w:t>
      </w:r>
      <w:r w:rsidR="00BA60EF" w:rsidRPr="00410AC4">
        <w:rPr>
          <w:rFonts w:cs="Calibri"/>
        </w:rPr>
        <w:t xml:space="preserve">is </w:t>
      </w:r>
      <w:r w:rsidR="00FF64CF" w:rsidRPr="00410AC4">
        <w:rPr>
          <w:rFonts w:cs="Calibri"/>
        </w:rPr>
        <w:t xml:space="preserve">more likely to have a polygenic basis with secondary factors. </w:t>
      </w:r>
      <w:r w:rsidR="002D1A79" w:rsidRPr="00410AC4">
        <w:rPr>
          <w:rFonts w:cs="Calibri"/>
        </w:rPr>
        <w:t>The presence of concomitant lipid disturbances depend</w:t>
      </w:r>
      <w:r w:rsidR="00652DAE" w:rsidRPr="00410AC4">
        <w:rPr>
          <w:rFonts w:cs="Calibri"/>
        </w:rPr>
        <w:t>s</w:t>
      </w:r>
      <w:r w:rsidR="002D1A79" w:rsidRPr="00410AC4">
        <w:rPr>
          <w:rFonts w:cs="Calibri"/>
        </w:rPr>
        <w:t xml:space="preserve"> on additional genetic factors. </w:t>
      </w:r>
      <w:r w:rsidR="006A3E25" w:rsidRPr="00410AC4">
        <w:rPr>
          <w:rFonts w:cs="Calibri"/>
        </w:rPr>
        <w:t xml:space="preserve"> K</w:t>
      </w:r>
      <w:r w:rsidR="00D856DE" w:rsidRPr="00410AC4">
        <w:rPr>
          <w:rFonts w:cs="Calibri"/>
        </w:rPr>
        <w:t xml:space="preserve">nowing the precise molecular defect may be helpful in guiding therapy for monogenic HTG disorders, particularly </w:t>
      </w:r>
      <w:r w:rsidR="00BC74DE" w:rsidRPr="00410AC4">
        <w:rPr>
          <w:rFonts w:cs="Calibri"/>
        </w:rPr>
        <w:t xml:space="preserve">in children and adolescents with severe HTG </w:t>
      </w:r>
      <w:r w:rsidR="006A3E25" w:rsidRPr="00410AC4">
        <w:rPr>
          <w:rFonts w:cs="Calibri"/>
        </w:rPr>
        <w:t xml:space="preserve">due </w:t>
      </w:r>
      <w:r w:rsidR="00BC74DE" w:rsidRPr="00410AC4">
        <w:rPr>
          <w:rFonts w:cs="Calibri"/>
        </w:rPr>
        <w:t xml:space="preserve">to </w:t>
      </w:r>
      <w:r w:rsidR="00D856DE" w:rsidRPr="00410AC4">
        <w:rPr>
          <w:rFonts w:cs="Calibri"/>
        </w:rPr>
        <w:t>LPL deficiency</w:t>
      </w:r>
      <w:r w:rsidR="00BC74DE" w:rsidRPr="00410AC4">
        <w:rPr>
          <w:rFonts w:cs="Calibri"/>
        </w:rPr>
        <w:t xml:space="preserve"> and related disorders</w:t>
      </w:r>
      <w:r w:rsidR="00D856DE" w:rsidRPr="00410AC4">
        <w:rPr>
          <w:rFonts w:cs="Calibri"/>
        </w:rPr>
        <w:t xml:space="preserve">. However, in polygenic HTG, there is no indication that genotyping will </w:t>
      </w:r>
      <w:r w:rsidR="00FF64CF" w:rsidRPr="00410AC4">
        <w:rPr>
          <w:rFonts w:cs="Calibri"/>
        </w:rPr>
        <w:t>enhance</w:t>
      </w:r>
      <w:r w:rsidR="00D856DE" w:rsidRPr="00410AC4">
        <w:rPr>
          <w:rFonts w:cs="Calibri"/>
        </w:rPr>
        <w:t xml:space="preserve"> diagnosis or management.</w:t>
      </w:r>
      <w:r w:rsidRPr="00410AC4">
        <w:rPr>
          <w:rFonts w:cs="Calibri"/>
        </w:rPr>
        <w:t xml:space="preserve"> Nonfasting</w:t>
      </w:r>
      <w:r w:rsidR="002D1A79" w:rsidRPr="00410AC4">
        <w:rPr>
          <w:rFonts w:cs="Calibri"/>
        </w:rPr>
        <w:t xml:space="preserve"> lipid determinations </w:t>
      </w:r>
      <w:r w:rsidR="006A3E25" w:rsidRPr="00410AC4">
        <w:rPr>
          <w:rFonts w:cs="Calibri"/>
        </w:rPr>
        <w:t>might</w:t>
      </w:r>
      <w:r w:rsidR="002D1A79" w:rsidRPr="00410AC4">
        <w:rPr>
          <w:rFonts w:cs="Calibri"/>
        </w:rPr>
        <w:t xml:space="preserve"> improve the efficiency of screening and diagnosis of HTG, while related variables such as non-HDL</w:t>
      </w:r>
      <w:r w:rsidR="00854E8C" w:rsidRPr="00410AC4">
        <w:rPr>
          <w:rFonts w:cs="Calibri"/>
        </w:rPr>
        <w:t xml:space="preserve"> </w:t>
      </w:r>
      <w:r w:rsidR="002D1A79" w:rsidRPr="00410AC4">
        <w:rPr>
          <w:rFonts w:cs="Calibri"/>
        </w:rPr>
        <w:t>cholesterol and apoB can provide guidance for therapy, especially when HTG is moderate to severe. The current mainstay of treatment for all HTG states focuse</w:t>
      </w:r>
      <w:r w:rsidR="006A3E25" w:rsidRPr="00410AC4">
        <w:rPr>
          <w:rFonts w:cs="Calibri"/>
        </w:rPr>
        <w:t>s</w:t>
      </w:r>
      <w:r w:rsidR="002D1A79" w:rsidRPr="00410AC4">
        <w:rPr>
          <w:rFonts w:cs="Calibri"/>
        </w:rPr>
        <w:t xml:space="preserve"> on risk factor control, diet, and lifestyle choice to ensure maximal health for </w:t>
      </w:r>
      <w:r w:rsidR="003074E2" w:rsidRPr="00410AC4">
        <w:rPr>
          <w:rFonts w:cs="Calibri"/>
        </w:rPr>
        <w:t>individual</w:t>
      </w:r>
      <w:r w:rsidR="002D1A79" w:rsidRPr="00410AC4">
        <w:rPr>
          <w:rFonts w:cs="Calibri"/>
        </w:rPr>
        <w:t>s</w:t>
      </w:r>
      <w:r w:rsidR="003074E2" w:rsidRPr="00410AC4">
        <w:rPr>
          <w:rFonts w:cs="Calibri"/>
        </w:rPr>
        <w:t xml:space="preserve"> with HTG</w:t>
      </w:r>
      <w:r w:rsidR="008419B7" w:rsidRPr="00410AC4">
        <w:rPr>
          <w:rFonts w:cs="Calibri"/>
        </w:rPr>
        <w:t>. P</w:t>
      </w:r>
      <w:r w:rsidR="002D1A79" w:rsidRPr="00410AC4">
        <w:rPr>
          <w:rFonts w:cs="Calibri"/>
        </w:rPr>
        <w:t>harmacotherapy can also be useful in select</w:t>
      </w:r>
      <w:r w:rsidR="00652DAE" w:rsidRPr="00410AC4">
        <w:rPr>
          <w:rFonts w:cs="Calibri"/>
        </w:rPr>
        <w:t>ed</w:t>
      </w:r>
      <w:r w:rsidR="002D1A79" w:rsidRPr="00410AC4">
        <w:rPr>
          <w:rFonts w:cs="Calibri"/>
        </w:rPr>
        <w:t xml:space="preserve"> </w:t>
      </w:r>
      <w:r w:rsidR="00652DAE" w:rsidRPr="00410AC4">
        <w:rPr>
          <w:rFonts w:cs="Calibri"/>
        </w:rPr>
        <w:t>subgroups</w:t>
      </w:r>
      <w:r w:rsidR="002D1A79" w:rsidRPr="00410AC4">
        <w:rPr>
          <w:rFonts w:cs="Calibri"/>
        </w:rPr>
        <w:t>, provided that it is in line with guideline recommendations. Finally, ongoing research</w:t>
      </w:r>
      <w:r w:rsidR="00FA163E" w:rsidRPr="00410AC4">
        <w:rPr>
          <w:rFonts w:cs="Calibri"/>
        </w:rPr>
        <w:t>, both genetic and non-genetic,</w:t>
      </w:r>
      <w:r w:rsidR="002D1A79" w:rsidRPr="00410AC4">
        <w:rPr>
          <w:rFonts w:cs="Calibri"/>
        </w:rPr>
        <w:t xml:space="preserve"> may identify new therapeutic targets that could lead to </w:t>
      </w:r>
      <w:r w:rsidR="007D2A77" w:rsidRPr="00410AC4">
        <w:rPr>
          <w:rFonts w:cs="Calibri"/>
        </w:rPr>
        <w:t xml:space="preserve">optimisation </w:t>
      </w:r>
      <w:r w:rsidR="008734B5" w:rsidRPr="00410AC4">
        <w:rPr>
          <w:rFonts w:cs="Calibri"/>
        </w:rPr>
        <w:t>of</w:t>
      </w:r>
      <w:r w:rsidR="002D1A79" w:rsidRPr="00410AC4">
        <w:rPr>
          <w:rFonts w:cs="Calibri"/>
        </w:rPr>
        <w:t xml:space="preserve"> </w:t>
      </w:r>
      <w:r w:rsidR="008734B5" w:rsidRPr="00410AC4">
        <w:rPr>
          <w:rFonts w:cs="Calibri"/>
        </w:rPr>
        <w:t>clinical management</w:t>
      </w:r>
      <w:r w:rsidR="002D1A79" w:rsidRPr="00410AC4">
        <w:rPr>
          <w:rFonts w:cs="Calibri"/>
        </w:rPr>
        <w:t xml:space="preserve"> in </w:t>
      </w:r>
      <w:r w:rsidR="003074E2" w:rsidRPr="00410AC4">
        <w:rPr>
          <w:rFonts w:cs="Calibri"/>
        </w:rPr>
        <w:t xml:space="preserve">individuals with </w:t>
      </w:r>
      <w:r w:rsidR="002D1A79" w:rsidRPr="00410AC4">
        <w:rPr>
          <w:rFonts w:cs="Calibri"/>
        </w:rPr>
        <w:t>HTG.</w:t>
      </w:r>
    </w:p>
    <w:p w:rsidR="00BF57A9" w:rsidRDefault="00BF57A9">
      <w:pPr>
        <w:spacing w:after="0" w:line="240" w:lineRule="auto"/>
        <w:rPr>
          <w:rFonts w:cs="Calibri"/>
        </w:rPr>
        <w:sectPr w:rsidR="00BF57A9" w:rsidSect="00BF57A9">
          <w:type w:val="continuous"/>
          <w:pgSz w:w="12240" w:h="15840"/>
          <w:pgMar w:top="1440" w:right="1440" w:bottom="1440" w:left="1440" w:header="708" w:footer="708" w:gutter="0"/>
          <w:cols w:num="2" w:space="708"/>
          <w:docGrid w:linePitch="360"/>
        </w:sectPr>
      </w:pPr>
    </w:p>
    <w:p w:rsidR="009A5415" w:rsidRDefault="009A5415">
      <w:pPr>
        <w:spacing w:after="0" w:line="240" w:lineRule="auto"/>
        <w:rPr>
          <w:rFonts w:cs="Calibri"/>
        </w:rPr>
      </w:pPr>
      <w:r>
        <w:rPr>
          <w:rFonts w:cs="Calibri"/>
        </w:rPr>
        <w:lastRenderedPageBreak/>
        <w:br w:type="page"/>
      </w:r>
    </w:p>
    <w:p w:rsidR="00A70A16" w:rsidRPr="00B36D22" w:rsidRDefault="00A70A16" w:rsidP="00BF57A9">
      <w:pPr>
        <w:pBdr>
          <w:top w:val="single" w:sz="4" w:space="1" w:color="auto"/>
          <w:left w:val="single" w:sz="4" w:space="4" w:color="auto"/>
          <w:bottom w:val="single" w:sz="4" w:space="1" w:color="auto"/>
          <w:right w:val="single" w:sz="4" w:space="4" w:color="auto"/>
        </w:pBdr>
        <w:spacing w:after="0" w:line="240" w:lineRule="auto"/>
        <w:rPr>
          <w:rFonts w:cs="Calibri"/>
          <w:b/>
          <w:color w:val="C00000"/>
          <w:sz w:val="20"/>
          <w:szCs w:val="20"/>
        </w:rPr>
      </w:pPr>
      <w:r w:rsidRPr="00B36D22">
        <w:rPr>
          <w:rFonts w:cs="Calibri"/>
          <w:b/>
          <w:color w:val="C00000"/>
          <w:sz w:val="20"/>
          <w:szCs w:val="20"/>
        </w:rPr>
        <w:lastRenderedPageBreak/>
        <w:t xml:space="preserve">Search Strategy and Selection Criteria </w:t>
      </w:r>
    </w:p>
    <w:p w:rsidR="00A70A16" w:rsidRPr="00B36D22" w:rsidRDefault="00A70A16" w:rsidP="00BF57A9">
      <w:pPr>
        <w:pBdr>
          <w:top w:val="single" w:sz="4" w:space="1" w:color="auto"/>
          <w:left w:val="single" w:sz="4" w:space="4" w:color="auto"/>
          <w:bottom w:val="single" w:sz="4" w:space="1" w:color="auto"/>
          <w:right w:val="single" w:sz="4" w:space="4" w:color="auto"/>
        </w:pBdr>
        <w:spacing w:after="0" w:line="240" w:lineRule="auto"/>
        <w:rPr>
          <w:rFonts w:cs="Calibri"/>
          <w:sz w:val="20"/>
          <w:szCs w:val="20"/>
        </w:rPr>
      </w:pPr>
      <w:r w:rsidRPr="00B36D22">
        <w:rPr>
          <w:rFonts w:cs="Calibri"/>
          <w:sz w:val="20"/>
          <w:szCs w:val="20"/>
        </w:rPr>
        <w:t>Data for this review were identified by searches of MEDLINE, Current Contents, PubMED, and relevant references using the search terms: triglyceride, hypertriglyceridaemia, hyperlipidaemia, familial, monogenic, polygenic, polymorphism, mutation, and pharmacogenetics. Main articles published in English between 2000 and 2013 were included. This review was based on discussions at two meetings of the European Atherosclerosis Society (EAS) Consensus Panel organised and chaired by MJC and HNG, where the literature and drafts of the manuscript were critically appraised: most of the document results from a consensus of expert opinions.</w:t>
      </w:r>
    </w:p>
    <w:p w:rsidR="00A70A16" w:rsidRPr="0074665D" w:rsidRDefault="00A70A16" w:rsidP="00A70A16">
      <w:pPr>
        <w:spacing w:after="0"/>
        <w:rPr>
          <w:rFonts w:cs="Calibri"/>
        </w:rPr>
      </w:pPr>
    </w:p>
    <w:p w:rsidR="00BF57A9" w:rsidRDefault="00BF57A9" w:rsidP="00896E71">
      <w:pPr>
        <w:spacing w:after="0"/>
        <w:jc w:val="both"/>
        <w:rPr>
          <w:rFonts w:cs="Calibri"/>
          <w:b/>
          <w:sz w:val="20"/>
          <w:szCs w:val="20"/>
        </w:rPr>
        <w:sectPr w:rsidR="00BF57A9" w:rsidSect="00A25FE8">
          <w:type w:val="continuous"/>
          <w:pgSz w:w="12240" w:h="15840"/>
          <w:pgMar w:top="1440" w:right="1440" w:bottom="1440" w:left="1440" w:header="708" w:footer="708" w:gutter="0"/>
          <w:cols w:space="708"/>
          <w:docGrid w:linePitch="360"/>
        </w:sectPr>
      </w:pPr>
    </w:p>
    <w:p w:rsidR="0021701F" w:rsidRPr="00E87454" w:rsidRDefault="0021701F" w:rsidP="00BF57A9">
      <w:pPr>
        <w:spacing w:after="0" w:line="240" w:lineRule="auto"/>
        <w:jc w:val="both"/>
        <w:rPr>
          <w:rFonts w:cs="Calibri"/>
          <w:b/>
          <w:sz w:val="20"/>
          <w:szCs w:val="20"/>
        </w:rPr>
      </w:pPr>
      <w:r w:rsidRPr="00E87454">
        <w:rPr>
          <w:rFonts w:cs="Calibri"/>
          <w:b/>
          <w:sz w:val="20"/>
          <w:szCs w:val="20"/>
        </w:rPr>
        <w:lastRenderedPageBreak/>
        <w:t>References</w:t>
      </w:r>
    </w:p>
    <w:p w:rsidR="0021701F" w:rsidRPr="00E87454" w:rsidRDefault="00920735" w:rsidP="00BF57A9">
      <w:pPr>
        <w:spacing w:after="0" w:line="240" w:lineRule="auto"/>
        <w:jc w:val="both"/>
        <w:rPr>
          <w:rFonts w:cs="Calibri"/>
          <w:sz w:val="20"/>
          <w:szCs w:val="20"/>
          <w:lang w:val="nl-NL"/>
        </w:rPr>
      </w:pPr>
      <w:r w:rsidRPr="00E87454">
        <w:rPr>
          <w:rFonts w:cs="Calibri"/>
          <w:sz w:val="20"/>
          <w:szCs w:val="20"/>
        </w:rPr>
        <w:t>1</w:t>
      </w:r>
      <w:r w:rsidR="00E87454" w:rsidRPr="00E87454">
        <w:rPr>
          <w:rFonts w:cs="Calibri"/>
          <w:sz w:val="20"/>
          <w:szCs w:val="20"/>
        </w:rPr>
        <w:t xml:space="preserve"> </w:t>
      </w:r>
      <w:r w:rsidR="0021701F" w:rsidRPr="00E87454">
        <w:rPr>
          <w:rFonts w:cs="Calibri"/>
          <w:sz w:val="20"/>
          <w:szCs w:val="20"/>
        </w:rPr>
        <w:t xml:space="preserve">Berglund L, Brunzell JD, Goldberg AC et al. Evaluation and treatment of hypertriglyceridemia: an Endocrine Society clinical practice guideline. </w:t>
      </w:r>
      <w:r w:rsidR="0021701F" w:rsidRPr="00E87454">
        <w:rPr>
          <w:rFonts w:cs="Calibri"/>
          <w:i/>
          <w:sz w:val="20"/>
          <w:szCs w:val="20"/>
          <w:lang w:val="nl-NL"/>
        </w:rPr>
        <w:t>J Clin Endocrinol Metab</w:t>
      </w:r>
      <w:r w:rsidR="0021701F" w:rsidRPr="00E87454">
        <w:rPr>
          <w:rFonts w:cs="Calibri"/>
          <w:sz w:val="20"/>
          <w:szCs w:val="20"/>
          <w:lang w:val="nl-NL"/>
        </w:rPr>
        <w:t xml:space="preserve"> 2012; </w:t>
      </w:r>
      <w:r w:rsidR="0021701F" w:rsidRPr="00E87454">
        <w:rPr>
          <w:rFonts w:cs="Calibri"/>
          <w:b/>
          <w:sz w:val="20"/>
          <w:szCs w:val="20"/>
          <w:lang w:val="nl-NL"/>
        </w:rPr>
        <w:t>97</w:t>
      </w:r>
      <w:r w:rsidR="0021701F" w:rsidRPr="00E87454">
        <w:rPr>
          <w:rFonts w:cs="Calibri"/>
          <w:sz w:val="20"/>
          <w:szCs w:val="20"/>
          <w:lang w:val="nl-NL"/>
        </w:rPr>
        <w:t>:2969</w:t>
      </w:r>
      <w:r w:rsidR="005A5F5E" w:rsidRPr="00E87454">
        <w:rPr>
          <w:rFonts w:cs="Calibri"/>
          <w:sz w:val="20"/>
          <w:szCs w:val="20"/>
          <w:lang w:val="nl-NL"/>
        </w:rPr>
        <w:t>–</w:t>
      </w:r>
      <w:r w:rsidR="0021701F" w:rsidRPr="00E87454">
        <w:rPr>
          <w:rFonts w:cs="Calibri"/>
          <w:sz w:val="20"/>
          <w:szCs w:val="20"/>
          <w:lang w:val="nl-NL"/>
        </w:rPr>
        <w:t>89.</w:t>
      </w:r>
    </w:p>
    <w:p w:rsidR="0021701F" w:rsidRPr="00E87454" w:rsidRDefault="0021701F" w:rsidP="00BF57A9">
      <w:pPr>
        <w:spacing w:after="0" w:line="240" w:lineRule="auto"/>
        <w:jc w:val="both"/>
        <w:rPr>
          <w:rFonts w:cs="Calibri"/>
          <w:sz w:val="20"/>
          <w:szCs w:val="20"/>
        </w:rPr>
      </w:pPr>
      <w:r w:rsidRPr="00E87454">
        <w:rPr>
          <w:rFonts w:cs="Calibri"/>
          <w:sz w:val="20"/>
          <w:szCs w:val="20"/>
          <w:lang w:val="nl-NL"/>
        </w:rPr>
        <w:t>2</w:t>
      </w:r>
      <w:r w:rsidR="00E87454" w:rsidRPr="00E87454">
        <w:rPr>
          <w:rFonts w:cs="Calibri"/>
          <w:sz w:val="20"/>
          <w:szCs w:val="20"/>
          <w:lang w:val="nl-NL"/>
        </w:rPr>
        <w:t xml:space="preserve"> </w:t>
      </w:r>
      <w:r w:rsidRPr="00E87454">
        <w:rPr>
          <w:rFonts w:cs="Calibri"/>
          <w:sz w:val="20"/>
          <w:szCs w:val="20"/>
          <w:lang w:val="nl-NL"/>
        </w:rPr>
        <w:t xml:space="preserve">Boullart AC, de Graaf J, Stalenhoef AF. </w:t>
      </w:r>
      <w:r w:rsidRPr="00E87454">
        <w:rPr>
          <w:rFonts w:cs="Calibri"/>
          <w:sz w:val="20"/>
          <w:szCs w:val="20"/>
        </w:rPr>
        <w:t xml:space="preserve">Serum triglycerides and risk of cardiovascular disease. </w:t>
      </w:r>
      <w:r w:rsidRPr="00E87454">
        <w:rPr>
          <w:rFonts w:cs="Calibri"/>
          <w:i/>
          <w:sz w:val="20"/>
          <w:szCs w:val="20"/>
        </w:rPr>
        <w:t>Biochim Biophys Acta</w:t>
      </w:r>
      <w:r w:rsidRPr="00E87454">
        <w:rPr>
          <w:rFonts w:cs="Calibri"/>
          <w:sz w:val="20"/>
          <w:szCs w:val="20"/>
        </w:rPr>
        <w:t xml:space="preserve"> 2012; </w:t>
      </w:r>
      <w:r w:rsidRPr="00E87454">
        <w:rPr>
          <w:rFonts w:cs="Calibri"/>
          <w:b/>
          <w:sz w:val="20"/>
          <w:szCs w:val="20"/>
        </w:rPr>
        <w:t>1821</w:t>
      </w:r>
      <w:r w:rsidRPr="00E87454">
        <w:rPr>
          <w:rFonts w:cs="Calibri"/>
          <w:sz w:val="20"/>
          <w:szCs w:val="20"/>
        </w:rPr>
        <w:t>:867</w:t>
      </w:r>
      <w:r w:rsidR="005A5F5E" w:rsidRPr="00E87454">
        <w:rPr>
          <w:rFonts w:cs="Calibri"/>
          <w:sz w:val="20"/>
          <w:szCs w:val="20"/>
        </w:rPr>
        <w:t>–</w:t>
      </w:r>
      <w:r w:rsidRPr="00E87454">
        <w:rPr>
          <w:rFonts w:cs="Calibri"/>
          <w:sz w:val="20"/>
          <w:szCs w:val="20"/>
        </w:rPr>
        <w:t>75.</w:t>
      </w:r>
    </w:p>
    <w:p w:rsidR="0021701F" w:rsidRPr="00E87454" w:rsidRDefault="0021701F" w:rsidP="00BF57A9">
      <w:pPr>
        <w:spacing w:after="0" w:line="240" w:lineRule="auto"/>
        <w:jc w:val="both"/>
        <w:rPr>
          <w:rFonts w:cs="Calibri"/>
          <w:sz w:val="20"/>
          <w:szCs w:val="20"/>
          <w:lang w:val="es-ES"/>
        </w:rPr>
      </w:pPr>
      <w:r w:rsidRPr="00E87454">
        <w:rPr>
          <w:rFonts w:cs="Calibri"/>
          <w:sz w:val="20"/>
          <w:szCs w:val="20"/>
        </w:rPr>
        <w:t>3</w:t>
      </w:r>
      <w:r w:rsidR="00E87454" w:rsidRPr="00E87454">
        <w:rPr>
          <w:rFonts w:cs="Calibri"/>
          <w:sz w:val="20"/>
          <w:szCs w:val="20"/>
        </w:rPr>
        <w:t xml:space="preserve"> </w:t>
      </w:r>
      <w:r w:rsidRPr="00E87454">
        <w:rPr>
          <w:rFonts w:cs="Calibri"/>
          <w:sz w:val="20"/>
          <w:szCs w:val="20"/>
        </w:rPr>
        <w:t xml:space="preserve">Chapman MJ, Ginsberg HN, Amarenco P et al. Triglyceride-rich lipoproteins and high-density lipoprotein cholesterol in patients at high risk of cardiovascular disease: evidence and guidance for management. </w:t>
      </w:r>
      <w:r w:rsidRPr="00E87454">
        <w:rPr>
          <w:rFonts w:cs="Calibri"/>
          <w:i/>
          <w:sz w:val="20"/>
          <w:szCs w:val="20"/>
          <w:lang w:val="es-ES"/>
        </w:rPr>
        <w:t>Eur Heart J</w:t>
      </w:r>
      <w:r w:rsidRPr="00E87454">
        <w:rPr>
          <w:rFonts w:cs="Calibri"/>
          <w:sz w:val="20"/>
          <w:szCs w:val="20"/>
          <w:lang w:val="es-ES"/>
        </w:rPr>
        <w:t xml:space="preserve"> 2011; </w:t>
      </w:r>
      <w:r w:rsidRPr="00E87454">
        <w:rPr>
          <w:rFonts w:cs="Calibri"/>
          <w:b/>
          <w:sz w:val="20"/>
          <w:szCs w:val="20"/>
          <w:lang w:val="es-ES"/>
        </w:rPr>
        <w:t>32</w:t>
      </w:r>
      <w:r w:rsidRPr="00E87454">
        <w:rPr>
          <w:rFonts w:cs="Calibri"/>
          <w:sz w:val="20"/>
          <w:szCs w:val="20"/>
          <w:lang w:val="es-ES"/>
        </w:rPr>
        <w:t>:1345</w:t>
      </w:r>
      <w:r w:rsidR="005A5F5E" w:rsidRPr="00E87454">
        <w:rPr>
          <w:rFonts w:cs="Calibri"/>
          <w:sz w:val="20"/>
          <w:szCs w:val="20"/>
          <w:lang w:val="es-ES"/>
        </w:rPr>
        <w:t>–</w:t>
      </w:r>
      <w:r w:rsidRPr="00E87454">
        <w:rPr>
          <w:rFonts w:cs="Calibri"/>
          <w:sz w:val="20"/>
          <w:szCs w:val="20"/>
          <w:lang w:val="es-ES"/>
        </w:rPr>
        <w:t>61.</w:t>
      </w:r>
    </w:p>
    <w:p w:rsidR="0021701F" w:rsidRPr="00E87454" w:rsidRDefault="0021701F" w:rsidP="00BF57A9">
      <w:pPr>
        <w:spacing w:after="0" w:line="240" w:lineRule="auto"/>
        <w:jc w:val="both"/>
        <w:rPr>
          <w:rFonts w:cs="Calibri"/>
          <w:sz w:val="20"/>
          <w:szCs w:val="20"/>
        </w:rPr>
      </w:pPr>
      <w:r w:rsidRPr="00E87454">
        <w:rPr>
          <w:rFonts w:cs="Calibri"/>
          <w:sz w:val="20"/>
          <w:szCs w:val="20"/>
        </w:rPr>
        <w:t>4</w:t>
      </w:r>
      <w:r w:rsidR="00E87454" w:rsidRPr="00E87454">
        <w:rPr>
          <w:rFonts w:cs="Calibri"/>
          <w:sz w:val="20"/>
          <w:szCs w:val="20"/>
        </w:rPr>
        <w:t xml:space="preserve"> </w:t>
      </w:r>
      <w:r w:rsidRPr="00E87454">
        <w:rPr>
          <w:rFonts w:cs="Calibri"/>
          <w:sz w:val="20"/>
          <w:szCs w:val="20"/>
        </w:rPr>
        <w:t xml:space="preserve">Yuan G, Al-Shali KZ, Hegele RA. Hypertriglyceridemia: its etiology, effects and treatment. </w:t>
      </w:r>
      <w:r w:rsidRPr="00E87454">
        <w:rPr>
          <w:rFonts w:cs="Calibri"/>
          <w:i/>
          <w:sz w:val="20"/>
          <w:szCs w:val="20"/>
        </w:rPr>
        <w:t>CMAJ</w:t>
      </w:r>
      <w:r w:rsidRPr="00E87454">
        <w:rPr>
          <w:rFonts w:cs="Calibri"/>
          <w:sz w:val="20"/>
          <w:szCs w:val="20"/>
        </w:rPr>
        <w:t xml:space="preserve"> 2007</w:t>
      </w:r>
      <w:r w:rsidR="00920735" w:rsidRPr="00E87454">
        <w:rPr>
          <w:rFonts w:cs="Calibri"/>
          <w:sz w:val="20"/>
          <w:szCs w:val="20"/>
        </w:rPr>
        <w:t xml:space="preserve">; </w:t>
      </w:r>
      <w:r w:rsidRPr="00E87454">
        <w:rPr>
          <w:rFonts w:cs="Calibri"/>
          <w:b/>
          <w:sz w:val="20"/>
          <w:szCs w:val="20"/>
        </w:rPr>
        <w:t>176</w:t>
      </w:r>
      <w:r w:rsidRPr="00E87454">
        <w:rPr>
          <w:rFonts w:cs="Calibri"/>
          <w:sz w:val="20"/>
          <w:szCs w:val="20"/>
        </w:rPr>
        <w:t>:1113</w:t>
      </w:r>
      <w:r w:rsidR="005A5F5E" w:rsidRPr="00E87454">
        <w:rPr>
          <w:rFonts w:cs="Calibri"/>
          <w:sz w:val="20"/>
          <w:szCs w:val="20"/>
        </w:rPr>
        <w:t>–</w:t>
      </w:r>
      <w:r w:rsidRPr="00E87454">
        <w:rPr>
          <w:rFonts w:cs="Calibri"/>
          <w:sz w:val="20"/>
          <w:szCs w:val="20"/>
        </w:rPr>
        <w:t>20.</w:t>
      </w:r>
    </w:p>
    <w:p w:rsidR="0021701F" w:rsidRPr="00E87454" w:rsidRDefault="0021701F" w:rsidP="00BF57A9">
      <w:pPr>
        <w:spacing w:after="0" w:line="240" w:lineRule="auto"/>
        <w:jc w:val="both"/>
        <w:rPr>
          <w:rFonts w:cs="Calibri"/>
          <w:sz w:val="20"/>
          <w:szCs w:val="20"/>
        </w:rPr>
      </w:pPr>
      <w:r w:rsidRPr="00E87454">
        <w:rPr>
          <w:rFonts w:cs="Calibri"/>
          <w:sz w:val="20"/>
          <w:szCs w:val="20"/>
        </w:rPr>
        <w:t>5</w:t>
      </w:r>
      <w:r w:rsidR="00E87454" w:rsidRPr="00E87454">
        <w:rPr>
          <w:rFonts w:cs="Calibri"/>
          <w:sz w:val="20"/>
          <w:szCs w:val="20"/>
        </w:rPr>
        <w:t xml:space="preserve"> </w:t>
      </w:r>
      <w:r w:rsidRPr="00E87454">
        <w:rPr>
          <w:rFonts w:cs="Calibri"/>
          <w:sz w:val="20"/>
          <w:szCs w:val="20"/>
        </w:rPr>
        <w:t xml:space="preserve">Executive Summary of The Third Report of The National Cholesterol Education Program (NCEP) Expert Panel on Detection, Evaluation, And Treatment of High Blood Cholesterol In Adults (Adult Treatment Panel III). </w:t>
      </w:r>
      <w:r w:rsidRPr="00E87454">
        <w:rPr>
          <w:rFonts w:cs="Calibri"/>
          <w:i/>
          <w:sz w:val="20"/>
          <w:szCs w:val="20"/>
        </w:rPr>
        <w:t>JAMA</w:t>
      </w:r>
      <w:r w:rsidRPr="00E87454">
        <w:rPr>
          <w:rFonts w:cs="Calibri"/>
          <w:sz w:val="20"/>
          <w:szCs w:val="20"/>
        </w:rPr>
        <w:t xml:space="preserve"> 2001;</w:t>
      </w:r>
      <w:r w:rsidR="00B34649" w:rsidRPr="00E87454">
        <w:rPr>
          <w:rFonts w:cs="Calibri"/>
          <w:sz w:val="20"/>
          <w:szCs w:val="20"/>
        </w:rPr>
        <w:t xml:space="preserve"> </w:t>
      </w:r>
      <w:r w:rsidRPr="00E87454">
        <w:rPr>
          <w:rFonts w:cs="Calibri"/>
          <w:b/>
          <w:sz w:val="20"/>
          <w:szCs w:val="20"/>
        </w:rPr>
        <w:t>285</w:t>
      </w:r>
      <w:r w:rsidRPr="00E87454">
        <w:rPr>
          <w:rFonts w:cs="Calibri"/>
          <w:sz w:val="20"/>
          <w:szCs w:val="20"/>
        </w:rPr>
        <w:t>:2486</w:t>
      </w:r>
      <w:r w:rsidR="005A5F5E" w:rsidRPr="00E87454">
        <w:rPr>
          <w:rFonts w:cs="Calibri"/>
          <w:sz w:val="20"/>
          <w:szCs w:val="20"/>
        </w:rPr>
        <w:t>–</w:t>
      </w:r>
      <w:r w:rsidRPr="00E87454">
        <w:rPr>
          <w:rFonts w:cs="Calibri"/>
          <w:sz w:val="20"/>
          <w:szCs w:val="20"/>
        </w:rPr>
        <w:t>97.</w:t>
      </w:r>
    </w:p>
    <w:p w:rsidR="0021701F" w:rsidRPr="00E87454" w:rsidRDefault="0021701F" w:rsidP="00BF57A9">
      <w:pPr>
        <w:spacing w:after="0" w:line="240" w:lineRule="auto"/>
        <w:jc w:val="both"/>
        <w:rPr>
          <w:rFonts w:cs="Calibri"/>
          <w:sz w:val="20"/>
          <w:szCs w:val="20"/>
        </w:rPr>
      </w:pPr>
      <w:r w:rsidRPr="00E87454">
        <w:rPr>
          <w:rFonts w:cs="Calibri"/>
          <w:sz w:val="20"/>
          <w:szCs w:val="20"/>
          <w:lang w:val="es-ES"/>
        </w:rPr>
        <w:t>6</w:t>
      </w:r>
      <w:r w:rsidR="00E87454" w:rsidRPr="00E87454">
        <w:rPr>
          <w:rFonts w:cs="Calibri"/>
          <w:sz w:val="20"/>
          <w:szCs w:val="20"/>
          <w:lang w:val="es-ES"/>
        </w:rPr>
        <w:t xml:space="preserve"> </w:t>
      </w:r>
      <w:r w:rsidRPr="00E87454">
        <w:rPr>
          <w:rFonts w:cs="Calibri"/>
          <w:sz w:val="20"/>
          <w:szCs w:val="20"/>
          <w:lang w:val="es-ES"/>
        </w:rPr>
        <w:t>Catapano AL, Reiner Z, De B</w:t>
      </w:r>
      <w:r w:rsidR="00B34649" w:rsidRPr="00E87454">
        <w:rPr>
          <w:rFonts w:cs="Calibri"/>
          <w:sz w:val="20"/>
          <w:szCs w:val="20"/>
          <w:lang w:val="es-ES"/>
        </w:rPr>
        <w:t xml:space="preserve">acker </w:t>
      </w:r>
      <w:r w:rsidRPr="00E87454">
        <w:rPr>
          <w:rFonts w:cs="Calibri"/>
          <w:sz w:val="20"/>
          <w:szCs w:val="20"/>
          <w:lang w:val="es-ES"/>
        </w:rPr>
        <w:t xml:space="preserve">G et al. </w:t>
      </w:r>
      <w:r w:rsidRPr="00E87454">
        <w:rPr>
          <w:rFonts w:cs="Calibri"/>
          <w:sz w:val="20"/>
          <w:szCs w:val="20"/>
        </w:rPr>
        <w:t xml:space="preserve">ESC/EAS Guidelines for the management of dyslipidaemias: the Task Force for the management of dyslipidaemias of the European Society of Cardiology (ESC) and the European Atherosclerosis Society (EAS). </w:t>
      </w:r>
      <w:r w:rsidRPr="00E87454">
        <w:rPr>
          <w:rFonts w:cs="Calibri"/>
          <w:i/>
          <w:sz w:val="20"/>
          <w:szCs w:val="20"/>
        </w:rPr>
        <w:t>Atherosclerosis</w:t>
      </w:r>
      <w:r w:rsidRPr="00E87454">
        <w:rPr>
          <w:rFonts w:cs="Calibri"/>
          <w:sz w:val="20"/>
          <w:szCs w:val="20"/>
        </w:rPr>
        <w:t xml:space="preserve"> 2011; </w:t>
      </w:r>
      <w:r w:rsidRPr="00E87454">
        <w:rPr>
          <w:rFonts w:cs="Calibri"/>
          <w:b/>
          <w:sz w:val="20"/>
          <w:szCs w:val="20"/>
        </w:rPr>
        <w:t>217</w:t>
      </w:r>
      <w:r w:rsidRPr="00E87454">
        <w:rPr>
          <w:rFonts w:cs="Calibri"/>
          <w:sz w:val="20"/>
          <w:szCs w:val="20"/>
        </w:rPr>
        <w:t xml:space="preserve"> Suppl 1:</w:t>
      </w:r>
      <w:r w:rsidR="005C15EF" w:rsidRPr="00E87454">
        <w:rPr>
          <w:rFonts w:cs="Calibri"/>
          <w:sz w:val="20"/>
          <w:szCs w:val="20"/>
        </w:rPr>
        <w:t>S1</w:t>
      </w:r>
      <w:r w:rsidR="005A5F5E" w:rsidRPr="00E87454">
        <w:rPr>
          <w:rFonts w:cs="Calibri"/>
          <w:sz w:val="20"/>
          <w:szCs w:val="20"/>
        </w:rPr>
        <w:t>–</w:t>
      </w:r>
      <w:r w:rsidR="005C15EF" w:rsidRPr="00E87454">
        <w:rPr>
          <w:rFonts w:cs="Calibri"/>
          <w:sz w:val="20"/>
          <w:szCs w:val="20"/>
        </w:rPr>
        <w:t>44</w:t>
      </w:r>
      <w:r w:rsidRPr="00E87454">
        <w:rPr>
          <w:rFonts w:cs="Calibri"/>
          <w:sz w:val="20"/>
          <w:szCs w:val="20"/>
        </w:rPr>
        <w:t>.</w:t>
      </w:r>
    </w:p>
    <w:p w:rsidR="0021701F" w:rsidRPr="00E87454" w:rsidRDefault="0021701F" w:rsidP="00BF57A9">
      <w:pPr>
        <w:spacing w:after="0" w:line="240" w:lineRule="auto"/>
        <w:jc w:val="both"/>
        <w:rPr>
          <w:rFonts w:cs="Calibri"/>
          <w:sz w:val="20"/>
          <w:szCs w:val="20"/>
        </w:rPr>
      </w:pPr>
      <w:r w:rsidRPr="00E87454">
        <w:rPr>
          <w:rFonts w:cs="Calibri"/>
          <w:sz w:val="20"/>
          <w:szCs w:val="20"/>
        </w:rPr>
        <w:t>7</w:t>
      </w:r>
      <w:r w:rsidR="00E87454" w:rsidRPr="00E87454">
        <w:rPr>
          <w:rFonts w:cs="Calibri"/>
          <w:sz w:val="20"/>
          <w:szCs w:val="20"/>
        </w:rPr>
        <w:t xml:space="preserve"> </w:t>
      </w:r>
      <w:r w:rsidRPr="00E87454">
        <w:rPr>
          <w:rFonts w:cs="Calibri"/>
          <w:sz w:val="20"/>
          <w:szCs w:val="20"/>
        </w:rPr>
        <w:t xml:space="preserve">Reiner Z, Catapano AL, De Backer G </w:t>
      </w:r>
      <w:r w:rsidR="00B34649" w:rsidRPr="00E87454">
        <w:rPr>
          <w:rFonts w:cs="Calibri"/>
          <w:sz w:val="20"/>
          <w:szCs w:val="20"/>
        </w:rPr>
        <w:t>et al</w:t>
      </w:r>
      <w:r w:rsidRPr="00E87454">
        <w:rPr>
          <w:rFonts w:cs="Calibri"/>
          <w:sz w:val="20"/>
          <w:szCs w:val="20"/>
        </w:rPr>
        <w:t xml:space="preserve">.  ESC/EAS Guidelines for the management of dyslipidaemias: the Task Force for the management of dyslipidaemias of the European Society of Cardiology (ESC) and the European Atherosclerosis Society (EAS). </w:t>
      </w:r>
      <w:r w:rsidRPr="00E87454">
        <w:rPr>
          <w:rFonts w:cs="Calibri"/>
          <w:i/>
          <w:sz w:val="20"/>
          <w:szCs w:val="20"/>
        </w:rPr>
        <w:t>Eur Heart J</w:t>
      </w:r>
      <w:r w:rsidRPr="00E87454">
        <w:rPr>
          <w:rFonts w:cs="Calibri"/>
          <w:sz w:val="20"/>
          <w:szCs w:val="20"/>
        </w:rPr>
        <w:t xml:space="preserve"> 2011;</w:t>
      </w:r>
      <w:r w:rsidR="00B34649" w:rsidRPr="00E87454">
        <w:rPr>
          <w:rFonts w:cs="Calibri"/>
          <w:sz w:val="20"/>
          <w:szCs w:val="20"/>
        </w:rPr>
        <w:t xml:space="preserve"> </w:t>
      </w:r>
      <w:r w:rsidRPr="00E87454">
        <w:rPr>
          <w:rFonts w:cs="Calibri"/>
          <w:b/>
          <w:sz w:val="20"/>
          <w:szCs w:val="20"/>
        </w:rPr>
        <w:t>32</w:t>
      </w:r>
      <w:r w:rsidRPr="00E87454">
        <w:rPr>
          <w:rFonts w:cs="Calibri"/>
          <w:sz w:val="20"/>
          <w:szCs w:val="20"/>
        </w:rPr>
        <w:t>:1769</w:t>
      </w:r>
      <w:r w:rsidR="005A5F5E" w:rsidRPr="00E87454">
        <w:rPr>
          <w:rFonts w:cs="Calibri"/>
          <w:sz w:val="20"/>
          <w:szCs w:val="20"/>
        </w:rPr>
        <w:t>–</w:t>
      </w:r>
      <w:r w:rsidRPr="00E87454">
        <w:rPr>
          <w:rFonts w:cs="Calibri"/>
          <w:sz w:val="20"/>
          <w:szCs w:val="20"/>
        </w:rPr>
        <w:t>818.</w:t>
      </w:r>
    </w:p>
    <w:p w:rsidR="00040460" w:rsidRPr="00E87454" w:rsidRDefault="00040460" w:rsidP="00BF57A9">
      <w:pPr>
        <w:spacing w:after="0" w:line="240" w:lineRule="auto"/>
        <w:jc w:val="both"/>
        <w:rPr>
          <w:rFonts w:cs="Calibri"/>
          <w:sz w:val="20"/>
          <w:szCs w:val="20"/>
        </w:rPr>
      </w:pPr>
      <w:r w:rsidRPr="00E87454">
        <w:rPr>
          <w:rFonts w:cs="Calibri"/>
          <w:sz w:val="20"/>
          <w:szCs w:val="20"/>
        </w:rPr>
        <w:t>8</w:t>
      </w:r>
      <w:r w:rsidR="00E87454" w:rsidRPr="00E87454">
        <w:rPr>
          <w:rFonts w:cs="Calibri"/>
          <w:sz w:val="20"/>
          <w:szCs w:val="20"/>
        </w:rPr>
        <w:t xml:space="preserve"> </w:t>
      </w:r>
      <w:r w:rsidRPr="00E87454">
        <w:rPr>
          <w:rFonts w:cs="Calibri"/>
          <w:sz w:val="20"/>
          <w:szCs w:val="20"/>
        </w:rPr>
        <w:t xml:space="preserve">Goussault Y, Turpin E, Neel D et al. 'Pseudohypertriglyceridemia' caused by hyperglycerolemia due to congenital enzyme deficiency. </w:t>
      </w:r>
      <w:r w:rsidRPr="00E87454">
        <w:rPr>
          <w:rFonts w:cs="Calibri"/>
          <w:i/>
          <w:sz w:val="20"/>
          <w:szCs w:val="20"/>
        </w:rPr>
        <w:t>Clin Chim Acta</w:t>
      </w:r>
      <w:r w:rsidRPr="00E87454">
        <w:rPr>
          <w:rFonts w:cs="Calibri"/>
          <w:sz w:val="20"/>
          <w:szCs w:val="20"/>
        </w:rPr>
        <w:t xml:space="preserve"> 1982; </w:t>
      </w:r>
      <w:r w:rsidRPr="00E87454">
        <w:rPr>
          <w:rFonts w:cs="Calibri"/>
          <w:b/>
          <w:sz w:val="20"/>
          <w:szCs w:val="20"/>
        </w:rPr>
        <w:t>123</w:t>
      </w:r>
      <w:r w:rsidRPr="00E87454">
        <w:rPr>
          <w:rFonts w:cs="Calibri"/>
          <w:sz w:val="20"/>
          <w:szCs w:val="20"/>
        </w:rPr>
        <w:t>:269–74.</w:t>
      </w:r>
    </w:p>
    <w:p w:rsidR="00040460" w:rsidRPr="00E87454" w:rsidRDefault="00040460" w:rsidP="00BF57A9">
      <w:pPr>
        <w:spacing w:after="0" w:line="240" w:lineRule="auto"/>
        <w:jc w:val="both"/>
        <w:rPr>
          <w:rFonts w:cs="Calibri"/>
          <w:sz w:val="20"/>
          <w:szCs w:val="20"/>
        </w:rPr>
      </w:pPr>
      <w:r w:rsidRPr="00E87454">
        <w:rPr>
          <w:rFonts w:cs="Calibri"/>
          <w:sz w:val="20"/>
          <w:szCs w:val="20"/>
          <w:lang w:val="de-DE"/>
        </w:rPr>
        <w:t>9</w:t>
      </w:r>
      <w:r w:rsidR="00E87454" w:rsidRPr="00E87454">
        <w:rPr>
          <w:rFonts w:cs="Calibri"/>
          <w:sz w:val="20"/>
          <w:szCs w:val="20"/>
          <w:lang w:val="de-DE"/>
        </w:rPr>
        <w:t xml:space="preserve"> </w:t>
      </w:r>
      <w:r w:rsidRPr="00E87454">
        <w:rPr>
          <w:rFonts w:cs="Calibri"/>
          <w:sz w:val="20"/>
          <w:szCs w:val="20"/>
        </w:rPr>
        <w:t xml:space="preserve">Langsted A, Nordestgaard BG. Nonfasting lipids, lipoproteins, and apolipoproteins in individuals with and without diabetes: 58 434 individuals from the Copenhagen General Population Study. </w:t>
      </w:r>
      <w:r w:rsidRPr="00E87454">
        <w:rPr>
          <w:rFonts w:cs="Calibri"/>
          <w:i/>
          <w:sz w:val="20"/>
          <w:szCs w:val="20"/>
        </w:rPr>
        <w:t>Clin Chem</w:t>
      </w:r>
      <w:r w:rsidRPr="00E87454">
        <w:rPr>
          <w:rFonts w:cs="Calibri"/>
          <w:sz w:val="20"/>
          <w:szCs w:val="20"/>
        </w:rPr>
        <w:t xml:space="preserve"> 2011; </w:t>
      </w:r>
      <w:r w:rsidRPr="00E87454">
        <w:rPr>
          <w:rFonts w:cs="Calibri"/>
          <w:b/>
          <w:sz w:val="20"/>
          <w:szCs w:val="20"/>
        </w:rPr>
        <w:t>57</w:t>
      </w:r>
      <w:r w:rsidRPr="00E87454">
        <w:rPr>
          <w:rFonts w:cs="Calibri"/>
          <w:sz w:val="20"/>
          <w:szCs w:val="20"/>
        </w:rPr>
        <w:t xml:space="preserve">:482–9. </w:t>
      </w:r>
    </w:p>
    <w:p w:rsidR="00040460" w:rsidRPr="00E87454" w:rsidRDefault="00040460" w:rsidP="00BF57A9">
      <w:pPr>
        <w:spacing w:after="0" w:line="240" w:lineRule="auto"/>
        <w:jc w:val="both"/>
        <w:rPr>
          <w:rFonts w:cs="Calibri"/>
          <w:sz w:val="20"/>
          <w:szCs w:val="20"/>
        </w:rPr>
      </w:pPr>
      <w:r w:rsidRPr="00E87454">
        <w:rPr>
          <w:rFonts w:cs="Calibri"/>
          <w:sz w:val="20"/>
          <w:szCs w:val="20"/>
        </w:rPr>
        <w:t>10</w:t>
      </w:r>
      <w:r w:rsidR="00E87454" w:rsidRPr="00E87454">
        <w:rPr>
          <w:rFonts w:cs="Calibri"/>
          <w:sz w:val="20"/>
          <w:szCs w:val="20"/>
        </w:rPr>
        <w:t xml:space="preserve"> </w:t>
      </w:r>
      <w:r w:rsidRPr="00E87454">
        <w:rPr>
          <w:sz w:val="20"/>
          <w:szCs w:val="20"/>
        </w:rPr>
        <w:t xml:space="preserve">Guerin M, Egger P, Soudant C et al. Cholesteryl ester flux from HDL to VLDL-1 is preferentially </w:t>
      </w:r>
      <w:r w:rsidRPr="00E87454">
        <w:rPr>
          <w:sz w:val="20"/>
          <w:szCs w:val="20"/>
        </w:rPr>
        <w:lastRenderedPageBreak/>
        <w:t xml:space="preserve">enhanced in type IIB hyperlipidemia in the postprandial state. </w:t>
      </w:r>
      <w:r w:rsidRPr="00E87454">
        <w:rPr>
          <w:i/>
          <w:sz w:val="20"/>
          <w:szCs w:val="20"/>
        </w:rPr>
        <w:t>J Lipid Res</w:t>
      </w:r>
      <w:r w:rsidRPr="00E87454">
        <w:rPr>
          <w:sz w:val="20"/>
          <w:szCs w:val="20"/>
        </w:rPr>
        <w:t xml:space="preserve"> 2002; </w:t>
      </w:r>
      <w:r w:rsidRPr="00E87454">
        <w:rPr>
          <w:b/>
          <w:sz w:val="20"/>
          <w:szCs w:val="20"/>
        </w:rPr>
        <w:t>43</w:t>
      </w:r>
      <w:r w:rsidRPr="00E87454">
        <w:rPr>
          <w:sz w:val="20"/>
          <w:szCs w:val="20"/>
        </w:rPr>
        <w:t>:1652–60.</w:t>
      </w:r>
    </w:p>
    <w:p w:rsidR="00040460" w:rsidRPr="00F762EB" w:rsidRDefault="00040460" w:rsidP="00BF57A9">
      <w:pPr>
        <w:spacing w:after="0" w:line="240" w:lineRule="auto"/>
        <w:jc w:val="both"/>
        <w:rPr>
          <w:rFonts w:cs="Calibri"/>
          <w:sz w:val="20"/>
          <w:szCs w:val="20"/>
          <w:lang w:val="sv-SE"/>
        </w:rPr>
      </w:pPr>
      <w:r w:rsidRPr="00E87454">
        <w:rPr>
          <w:rFonts w:cs="Calibri"/>
          <w:sz w:val="20"/>
          <w:szCs w:val="20"/>
        </w:rPr>
        <w:t>11</w:t>
      </w:r>
      <w:r w:rsidR="00E87454" w:rsidRPr="00E87454">
        <w:rPr>
          <w:rFonts w:cs="Calibri"/>
          <w:sz w:val="20"/>
          <w:szCs w:val="20"/>
        </w:rPr>
        <w:t xml:space="preserve"> </w:t>
      </w:r>
      <w:r w:rsidRPr="00E87454">
        <w:rPr>
          <w:rFonts w:cs="Calibri"/>
          <w:sz w:val="20"/>
          <w:szCs w:val="20"/>
        </w:rPr>
        <w:t xml:space="preserve">Nordestgaard BG, Benn M, Schnohr P, Tybjaerg-Hansen A. Nonfasting triglycerides and risk of myocardial infarction, ischemic heart disease, and death in men and women. </w:t>
      </w:r>
      <w:r w:rsidRPr="00F762EB">
        <w:rPr>
          <w:rFonts w:cs="Calibri"/>
          <w:i/>
          <w:sz w:val="20"/>
          <w:szCs w:val="20"/>
          <w:lang w:val="sv-SE"/>
        </w:rPr>
        <w:t>JAMA</w:t>
      </w:r>
      <w:r w:rsidRPr="00F762EB">
        <w:rPr>
          <w:rFonts w:cs="Calibri"/>
          <w:sz w:val="20"/>
          <w:szCs w:val="20"/>
          <w:lang w:val="sv-SE"/>
        </w:rPr>
        <w:t xml:space="preserve"> 2007; </w:t>
      </w:r>
      <w:r w:rsidRPr="00F762EB">
        <w:rPr>
          <w:rFonts w:cs="Calibri"/>
          <w:b/>
          <w:sz w:val="20"/>
          <w:szCs w:val="20"/>
          <w:lang w:val="sv-SE"/>
        </w:rPr>
        <w:t>298</w:t>
      </w:r>
      <w:r w:rsidRPr="00F762EB">
        <w:rPr>
          <w:rFonts w:cs="Calibri"/>
          <w:sz w:val="20"/>
          <w:szCs w:val="20"/>
          <w:lang w:val="sv-SE"/>
        </w:rPr>
        <w:t>:299–308.</w:t>
      </w:r>
    </w:p>
    <w:p w:rsidR="00040460" w:rsidRPr="00F762EB" w:rsidRDefault="00040460" w:rsidP="00BF57A9">
      <w:pPr>
        <w:spacing w:after="0" w:line="240" w:lineRule="auto"/>
        <w:jc w:val="both"/>
        <w:rPr>
          <w:rFonts w:cs="Calibri"/>
          <w:sz w:val="20"/>
          <w:szCs w:val="20"/>
          <w:lang w:val="sv-SE"/>
        </w:rPr>
      </w:pPr>
      <w:r w:rsidRPr="00F762EB">
        <w:rPr>
          <w:rFonts w:cs="Calibri"/>
          <w:sz w:val="20"/>
          <w:szCs w:val="20"/>
          <w:lang w:val="sv-SE"/>
        </w:rPr>
        <w:t>12</w:t>
      </w:r>
      <w:r w:rsidR="00E87454" w:rsidRPr="00F762EB">
        <w:rPr>
          <w:rFonts w:cs="Calibri"/>
          <w:sz w:val="20"/>
          <w:szCs w:val="20"/>
          <w:lang w:val="sv-SE"/>
        </w:rPr>
        <w:t xml:space="preserve"> </w:t>
      </w:r>
      <w:r w:rsidRPr="00F762EB">
        <w:rPr>
          <w:rFonts w:cs="Calibri"/>
          <w:sz w:val="20"/>
          <w:szCs w:val="20"/>
          <w:lang w:val="sv-SE"/>
        </w:rPr>
        <w:t xml:space="preserve">Freiberg JJ, Tybjaerg-Hansen A, Jensen JS, Nordestgaard BG. </w:t>
      </w:r>
      <w:r w:rsidRPr="00E87454">
        <w:rPr>
          <w:rFonts w:cs="Calibri"/>
          <w:sz w:val="20"/>
          <w:szCs w:val="20"/>
        </w:rPr>
        <w:t xml:space="preserve">Nonfasting triglycerides and risk of ischemic stroke in the general population. </w:t>
      </w:r>
      <w:r w:rsidRPr="00F762EB">
        <w:rPr>
          <w:rFonts w:cs="Calibri"/>
          <w:i/>
          <w:sz w:val="20"/>
          <w:szCs w:val="20"/>
          <w:lang w:val="sv-SE"/>
        </w:rPr>
        <w:t>JAMA</w:t>
      </w:r>
      <w:r w:rsidRPr="00F762EB">
        <w:rPr>
          <w:rFonts w:cs="Calibri"/>
          <w:sz w:val="20"/>
          <w:szCs w:val="20"/>
          <w:lang w:val="sv-SE"/>
        </w:rPr>
        <w:t xml:space="preserve"> 2008; </w:t>
      </w:r>
      <w:r w:rsidRPr="00F762EB">
        <w:rPr>
          <w:rFonts w:cs="Calibri"/>
          <w:b/>
          <w:sz w:val="20"/>
          <w:szCs w:val="20"/>
          <w:lang w:val="sv-SE"/>
        </w:rPr>
        <w:t>300</w:t>
      </w:r>
      <w:r w:rsidRPr="00F762EB">
        <w:rPr>
          <w:rFonts w:cs="Calibri"/>
          <w:sz w:val="20"/>
          <w:szCs w:val="20"/>
          <w:lang w:val="sv-SE"/>
        </w:rPr>
        <w:t>:2142–52.</w:t>
      </w:r>
    </w:p>
    <w:p w:rsidR="00040460" w:rsidRPr="00E87454" w:rsidRDefault="00040460" w:rsidP="00BF57A9">
      <w:pPr>
        <w:spacing w:after="0" w:line="240" w:lineRule="auto"/>
        <w:jc w:val="both"/>
        <w:rPr>
          <w:rFonts w:cs="Calibri"/>
          <w:sz w:val="20"/>
          <w:szCs w:val="20"/>
        </w:rPr>
      </w:pPr>
      <w:r w:rsidRPr="00F762EB">
        <w:rPr>
          <w:rFonts w:cs="Calibri"/>
          <w:sz w:val="20"/>
          <w:szCs w:val="20"/>
          <w:lang w:val="sv-SE"/>
        </w:rPr>
        <w:t>13</w:t>
      </w:r>
      <w:r w:rsidR="00E87454" w:rsidRPr="00F762EB">
        <w:rPr>
          <w:rFonts w:cs="Calibri"/>
          <w:sz w:val="20"/>
          <w:szCs w:val="20"/>
          <w:lang w:val="sv-SE"/>
        </w:rPr>
        <w:t xml:space="preserve"> </w:t>
      </w:r>
      <w:r w:rsidRPr="00F762EB">
        <w:rPr>
          <w:rFonts w:cs="Calibri"/>
          <w:sz w:val="20"/>
          <w:szCs w:val="20"/>
          <w:lang w:val="sv-SE"/>
        </w:rPr>
        <w:t xml:space="preserve">Varbo A, Benn M, Tybjærg-Hansen A, Jørgensen AB, Frikke-Schmidt R, Nordestgaard BG. </w:t>
      </w:r>
      <w:r w:rsidRPr="00E87454">
        <w:rPr>
          <w:rFonts w:cs="Calibri"/>
          <w:sz w:val="20"/>
          <w:szCs w:val="20"/>
        </w:rPr>
        <w:t xml:space="preserve">Remnant cholesterol as  a causal risk factor for ischemic heart disease. </w:t>
      </w:r>
      <w:r w:rsidRPr="00E87454">
        <w:rPr>
          <w:rFonts w:cs="Calibri"/>
          <w:i/>
          <w:sz w:val="20"/>
          <w:szCs w:val="20"/>
        </w:rPr>
        <w:t>J Am Coll Cardiol</w:t>
      </w:r>
      <w:r w:rsidRPr="00E87454">
        <w:rPr>
          <w:rFonts w:cs="Calibri"/>
          <w:sz w:val="20"/>
          <w:szCs w:val="20"/>
        </w:rPr>
        <w:t xml:space="preserve"> 2013; </w:t>
      </w:r>
      <w:r w:rsidRPr="00E87454">
        <w:rPr>
          <w:rFonts w:cs="Calibri"/>
          <w:b/>
          <w:sz w:val="20"/>
          <w:szCs w:val="20"/>
        </w:rPr>
        <w:t>61</w:t>
      </w:r>
      <w:r w:rsidRPr="00E87454">
        <w:rPr>
          <w:rFonts w:cs="Calibri"/>
          <w:sz w:val="20"/>
          <w:szCs w:val="20"/>
        </w:rPr>
        <w:t>:427–36.</w:t>
      </w:r>
    </w:p>
    <w:p w:rsidR="00040460" w:rsidRPr="00E87454" w:rsidRDefault="00040460" w:rsidP="00BF57A9">
      <w:pPr>
        <w:spacing w:after="0" w:line="240" w:lineRule="auto"/>
        <w:jc w:val="both"/>
        <w:rPr>
          <w:rFonts w:cs="Calibri"/>
          <w:sz w:val="20"/>
          <w:szCs w:val="20"/>
        </w:rPr>
      </w:pPr>
      <w:r w:rsidRPr="00E87454">
        <w:rPr>
          <w:rFonts w:cs="Calibri"/>
          <w:sz w:val="20"/>
          <w:szCs w:val="20"/>
        </w:rPr>
        <w:t>14</w:t>
      </w:r>
      <w:r w:rsidR="00E87454" w:rsidRPr="00E87454">
        <w:rPr>
          <w:rFonts w:cs="Calibri"/>
          <w:sz w:val="20"/>
          <w:szCs w:val="20"/>
        </w:rPr>
        <w:t xml:space="preserve"> </w:t>
      </w:r>
      <w:r w:rsidRPr="00E87454">
        <w:rPr>
          <w:rFonts w:cs="Calibri"/>
          <w:sz w:val="20"/>
          <w:szCs w:val="20"/>
        </w:rPr>
        <w:t xml:space="preserve">Jørgensen AB, Frikke-Schmidt R, West AS, Grande P, Nordestgaard BG, Tybjærg-Hansen A. Genetically elevated nonfasting triglycerides and calculated remnant cholesterol as causal risk factors for myocardial infarction. </w:t>
      </w:r>
      <w:r w:rsidRPr="00E87454">
        <w:rPr>
          <w:rFonts w:cs="Calibri"/>
          <w:i/>
          <w:sz w:val="20"/>
          <w:szCs w:val="20"/>
        </w:rPr>
        <w:t>Eur Heart J</w:t>
      </w:r>
      <w:r w:rsidRPr="00E87454">
        <w:rPr>
          <w:rFonts w:cs="Calibri"/>
          <w:sz w:val="20"/>
          <w:szCs w:val="20"/>
        </w:rPr>
        <w:t xml:space="preserve"> 2013; </w:t>
      </w:r>
      <w:r w:rsidRPr="00E87454">
        <w:rPr>
          <w:rFonts w:cs="Calibri"/>
          <w:b/>
          <w:sz w:val="20"/>
          <w:szCs w:val="20"/>
        </w:rPr>
        <w:t>34</w:t>
      </w:r>
      <w:r w:rsidRPr="00E87454">
        <w:rPr>
          <w:rFonts w:cs="Calibri"/>
          <w:sz w:val="20"/>
          <w:szCs w:val="20"/>
        </w:rPr>
        <w:t>:1826-33.</w:t>
      </w:r>
    </w:p>
    <w:p w:rsidR="0021701F" w:rsidRPr="00E87454" w:rsidRDefault="00EC2E53" w:rsidP="00BF57A9">
      <w:pPr>
        <w:spacing w:after="0" w:line="240" w:lineRule="auto"/>
        <w:jc w:val="both"/>
        <w:rPr>
          <w:rFonts w:cs="Calibri"/>
          <w:sz w:val="20"/>
          <w:szCs w:val="20"/>
        </w:rPr>
      </w:pPr>
      <w:r w:rsidRPr="00E87454">
        <w:rPr>
          <w:rFonts w:cs="Calibri"/>
          <w:sz w:val="20"/>
          <w:szCs w:val="20"/>
        </w:rPr>
        <w:t>15</w:t>
      </w:r>
      <w:r w:rsidR="00E87454" w:rsidRPr="00E87454">
        <w:rPr>
          <w:rFonts w:cs="Calibri"/>
          <w:sz w:val="20"/>
          <w:szCs w:val="20"/>
        </w:rPr>
        <w:t xml:space="preserve"> </w:t>
      </w:r>
      <w:r w:rsidR="0021701F" w:rsidRPr="00E87454">
        <w:rPr>
          <w:rFonts w:cs="Calibri"/>
          <w:sz w:val="20"/>
          <w:szCs w:val="20"/>
        </w:rPr>
        <w:t xml:space="preserve">Zilversmit DB. Atherogenesis: a postprandial phenomenon. </w:t>
      </w:r>
      <w:r w:rsidR="0021701F" w:rsidRPr="00E87454">
        <w:rPr>
          <w:rFonts w:cs="Calibri"/>
          <w:i/>
          <w:sz w:val="20"/>
          <w:szCs w:val="20"/>
        </w:rPr>
        <w:t>Circulation</w:t>
      </w:r>
      <w:r w:rsidR="0021701F" w:rsidRPr="00E87454">
        <w:rPr>
          <w:rFonts w:cs="Calibri"/>
          <w:sz w:val="20"/>
          <w:szCs w:val="20"/>
        </w:rPr>
        <w:t xml:space="preserve"> 1979;</w:t>
      </w:r>
      <w:r w:rsidR="00B34649" w:rsidRPr="00E87454">
        <w:rPr>
          <w:rFonts w:cs="Calibri"/>
          <w:sz w:val="20"/>
          <w:szCs w:val="20"/>
        </w:rPr>
        <w:t xml:space="preserve"> </w:t>
      </w:r>
      <w:r w:rsidR="0021701F" w:rsidRPr="00E87454">
        <w:rPr>
          <w:rFonts w:cs="Calibri"/>
          <w:b/>
          <w:sz w:val="20"/>
          <w:szCs w:val="20"/>
        </w:rPr>
        <w:t>60</w:t>
      </w:r>
      <w:r w:rsidR="0021701F" w:rsidRPr="00E87454">
        <w:rPr>
          <w:rFonts w:cs="Calibri"/>
          <w:sz w:val="20"/>
          <w:szCs w:val="20"/>
        </w:rPr>
        <w:t>:473</w:t>
      </w:r>
      <w:r w:rsidR="005A5F5E" w:rsidRPr="00E87454">
        <w:rPr>
          <w:rFonts w:cs="Calibri"/>
          <w:sz w:val="20"/>
          <w:szCs w:val="20"/>
        </w:rPr>
        <w:t>–</w:t>
      </w:r>
      <w:r w:rsidR="0021701F" w:rsidRPr="00E87454">
        <w:rPr>
          <w:rFonts w:cs="Calibri"/>
          <w:sz w:val="20"/>
          <w:szCs w:val="20"/>
        </w:rPr>
        <w:t>85.</w:t>
      </w:r>
    </w:p>
    <w:p w:rsidR="0021701F" w:rsidRPr="00E87454" w:rsidRDefault="0021701F" w:rsidP="00BF57A9">
      <w:pPr>
        <w:spacing w:after="0" w:line="240" w:lineRule="auto"/>
        <w:jc w:val="both"/>
        <w:rPr>
          <w:rFonts w:cs="Calibri"/>
          <w:sz w:val="20"/>
          <w:szCs w:val="20"/>
        </w:rPr>
      </w:pPr>
      <w:r w:rsidRPr="00E87454">
        <w:rPr>
          <w:rFonts w:cs="Calibri"/>
          <w:sz w:val="20"/>
          <w:szCs w:val="20"/>
        </w:rPr>
        <w:t>1</w:t>
      </w:r>
      <w:r w:rsidR="00EC2E53" w:rsidRPr="00E87454">
        <w:rPr>
          <w:rFonts w:cs="Calibri"/>
          <w:sz w:val="20"/>
          <w:szCs w:val="20"/>
        </w:rPr>
        <w:t>6</w:t>
      </w:r>
      <w:r w:rsidR="00E87454" w:rsidRPr="00E87454">
        <w:rPr>
          <w:rFonts w:cs="Calibri"/>
          <w:sz w:val="20"/>
          <w:szCs w:val="20"/>
        </w:rPr>
        <w:t xml:space="preserve"> </w:t>
      </w:r>
      <w:r w:rsidRPr="00E87454">
        <w:rPr>
          <w:rFonts w:cs="Calibri"/>
          <w:sz w:val="20"/>
          <w:szCs w:val="20"/>
        </w:rPr>
        <w:t xml:space="preserve">Nordestgaard BG, Wootton R, Lewis B. Selective retention of VLDL, IDL, and LDL in the arterial intima of genetically hyperlipidemic rabbits in vivo. Molecular size as a determinant of fractional loss from the intima-inner media. </w:t>
      </w:r>
      <w:r w:rsidRPr="00E87454">
        <w:rPr>
          <w:rFonts w:cs="Calibri"/>
          <w:i/>
          <w:sz w:val="20"/>
          <w:szCs w:val="20"/>
        </w:rPr>
        <w:t>Arterioscler Thromb Vasc Biol</w:t>
      </w:r>
      <w:r w:rsidRPr="00E87454">
        <w:rPr>
          <w:rFonts w:cs="Calibri"/>
          <w:sz w:val="20"/>
          <w:szCs w:val="20"/>
        </w:rPr>
        <w:t xml:space="preserve"> 1995; </w:t>
      </w:r>
      <w:r w:rsidRPr="00E87454">
        <w:rPr>
          <w:rFonts w:cs="Calibri"/>
          <w:b/>
          <w:sz w:val="20"/>
          <w:szCs w:val="20"/>
        </w:rPr>
        <w:t>15</w:t>
      </w:r>
      <w:r w:rsidRPr="00E87454">
        <w:rPr>
          <w:rFonts w:cs="Calibri"/>
          <w:sz w:val="20"/>
          <w:szCs w:val="20"/>
        </w:rPr>
        <w:t>:534</w:t>
      </w:r>
      <w:r w:rsidR="005A5F5E" w:rsidRPr="00E87454">
        <w:rPr>
          <w:rFonts w:cs="Calibri"/>
          <w:sz w:val="20"/>
          <w:szCs w:val="20"/>
        </w:rPr>
        <w:t>–</w:t>
      </w:r>
      <w:r w:rsidRPr="00E87454">
        <w:rPr>
          <w:rFonts w:cs="Calibri"/>
          <w:sz w:val="20"/>
          <w:szCs w:val="20"/>
        </w:rPr>
        <w:t>42.</w:t>
      </w:r>
    </w:p>
    <w:p w:rsidR="00635CFC" w:rsidRPr="00E87454" w:rsidRDefault="0021701F" w:rsidP="00BF57A9">
      <w:pPr>
        <w:spacing w:after="0" w:line="240" w:lineRule="auto"/>
        <w:jc w:val="both"/>
        <w:rPr>
          <w:rFonts w:cs="Calibri"/>
          <w:sz w:val="20"/>
          <w:szCs w:val="20"/>
        </w:rPr>
      </w:pPr>
      <w:r w:rsidRPr="00E87454">
        <w:rPr>
          <w:rFonts w:cs="Calibri"/>
          <w:sz w:val="20"/>
          <w:szCs w:val="20"/>
        </w:rPr>
        <w:t>1</w:t>
      </w:r>
      <w:r w:rsidR="00EC2E53" w:rsidRPr="00E87454">
        <w:rPr>
          <w:rFonts w:cs="Calibri"/>
          <w:sz w:val="20"/>
          <w:szCs w:val="20"/>
        </w:rPr>
        <w:t>7</w:t>
      </w:r>
      <w:r w:rsidR="00E87454" w:rsidRPr="00E87454">
        <w:rPr>
          <w:rFonts w:cs="Calibri"/>
          <w:sz w:val="20"/>
          <w:szCs w:val="20"/>
        </w:rPr>
        <w:t xml:space="preserve"> </w:t>
      </w:r>
      <w:r w:rsidR="00635CFC" w:rsidRPr="00E87454">
        <w:rPr>
          <w:rFonts w:cs="Calibri"/>
          <w:sz w:val="20"/>
          <w:szCs w:val="20"/>
        </w:rPr>
        <w:t xml:space="preserve">Norata GD, Grigore L, Raselli S </w:t>
      </w:r>
      <w:r w:rsidR="00B34649" w:rsidRPr="00E87454">
        <w:rPr>
          <w:rFonts w:cs="Calibri"/>
          <w:sz w:val="20"/>
          <w:szCs w:val="20"/>
        </w:rPr>
        <w:t>et al</w:t>
      </w:r>
      <w:r w:rsidR="00635CFC" w:rsidRPr="00E87454">
        <w:rPr>
          <w:rFonts w:cs="Calibri"/>
          <w:sz w:val="20"/>
          <w:szCs w:val="20"/>
        </w:rPr>
        <w:t xml:space="preserve">. Post-prandial endothelial dysfunction in hypertriglyceridemic subjects: molecular mechanisms and gene expression studies. </w:t>
      </w:r>
      <w:r w:rsidR="00635CFC" w:rsidRPr="00E87454">
        <w:rPr>
          <w:rFonts w:cs="Calibri"/>
          <w:i/>
          <w:sz w:val="20"/>
          <w:szCs w:val="20"/>
        </w:rPr>
        <w:t>Atherosclerosis</w:t>
      </w:r>
      <w:r w:rsidR="00635CFC" w:rsidRPr="00E87454">
        <w:rPr>
          <w:rFonts w:cs="Calibri"/>
          <w:sz w:val="20"/>
          <w:szCs w:val="20"/>
        </w:rPr>
        <w:t xml:space="preserve"> 2007; </w:t>
      </w:r>
      <w:r w:rsidR="00635CFC" w:rsidRPr="00E87454">
        <w:rPr>
          <w:rFonts w:cs="Calibri"/>
          <w:b/>
          <w:sz w:val="20"/>
          <w:szCs w:val="20"/>
        </w:rPr>
        <w:t>193</w:t>
      </w:r>
      <w:r w:rsidR="00635CFC" w:rsidRPr="00E87454">
        <w:rPr>
          <w:rFonts w:cs="Calibri"/>
          <w:sz w:val="20"/>
          <w:szCs w:val="20"/>
        </w:rPr>
        <w:t>:321</w:t>
      </w:r>
      <w:r w:rsidR="005A5F5E" w:rsidRPr="00E87454">
        <w:rPr>
          <w:rFonts w:cs="Calibri"/>
          <w:sz w:val="20"/>
          <w:szCs w:val="20"/>
        </w:rPr>
        <w:t>–</w:t>
      </w:r>
      <w:r w:rsidR="00635CFC" w:rsidRPr="00E87454">
        <w:rPr>
          <w:rFonts w:cs="Calibri"/>
          <w:sz w:val="20"/>
          <w:szCs w:val="20"/>
        </w:rPr>
        <w:t xml:space="preserve">7. </w:t>
      </w:r>
    </w:p>
    <w:p w:rsidR="0021701F" w:rsidRPr="00E87454" w:rsidRDefault="0021701F" w:rsidP="00BF57A9">
      <w:pPr>
        <w:spacing w:after="0" w:line="240" w:lineRule="auto"/>
        <w:jc w:val="both"/>
        <w:rPr>
          <w:rFonts w:cs="Calibri"/>
          <w:sz w:val="20"/>
          <w:szCs w:val="20"/>
        </w:rPr>
      </w:pPr>
      <w:r w:rsidRPr="00E87454">
        <w:rPr>
          <w:rFonts w:cs="Calibri"/>
          <w:sz w:val="20"/>
          <w:szCs w:val="20"/>
        </w:rPr>
        <w:t>1</w:t>
      </w:r>
      <w:r w:rsidR="00EC2E53" w:rsidRPr="00E87454">
        <w:rPr>
          <w:rFonts w:cs="Calibri"/>
          <w:sz w:val="20"/>
          <w:szCs w:val="20"/>
        </w:rPr>
        <w:t>8</w:t>
      </w:r>
      <w:r w:rsidR="00E87454" w:rsidRPr="00E87454">
        <w:rPr>
          <w:rFonts w:cs="Calibri"/>
          <w:sz w:val="20"/>
          <w:szCs w:val="20"/>
        </w:rPr>
        <w:t xml:space="preserve"> </w:t>
      </w:r>
      <w:r w:rsidRPr="00E87454">
        <w:rPr>
          <w:rFonts w:cs="Calibri"/>
          <w:sz w:val="20"/>
          <w:szCs w:val="20"/>
        </w:rPr>
        <w:t xml:space="preserve">Malloy MJ, Kane JP. A risk factor for atherosclerosis: triglyceride-rich lipoproteins. </w:t>
      </w:r>
      <w:r w:rsidRPr="00E87454">
        <w:rPr>
          <w:rFonts w:cs="Calibri"/>
          <w:i/>
          <w:sz w:val="20"/>
          <w:szCs w:val="20"/>
        </w:rPr>
        <w:t>Adv Intern Med</w:t>
      </w:r>
      <w:r w:rsidRPr="00E87454">
        <w:rPr>
          <w:rFonts w:cs="Calibri"/>
          <w:sz w:val="20"/>
          <w:szCs w:val="20"/>
        </w:rPr>
        <w:t xml:space="preserve"> 2001; </w:t>
      </w:r>
      <w:r w:rsidRPr="00E87454">
        <w:rPr>
          <w:rFonts w:cs="Calibri"/>
          <w:b/>
          <w:sz w:val="20"/>
          <w:szCs w:val="20"/>
        </w:rPr>
        <w:t>47</w:t>
      </w:r>
      <w:r w:rsidRPr="00E87454">
        <w:rPr>
          <w:rFonts w:cs="Calibri"/>
          <w:sz w:val="20"/>
          <w:szCs w:val="20"/>
        </w:rPr>
        <w:t>:111</w:t>
      </w:r>
      <w:r w:rsidR="005A5F5E" w:rsidRPr="00E87454">
        <w:rPr>
          <w:rFonts w:cs="Calibri"/>
          <w:sz w:val="20"/>
          <w:szCs w:val="20"/>
        </w:rPr>
        <w:t>–</w:t>
      </w:r>
      <w:r w:rsidRPr="00E87454">
        <w:rPr>
          <w:rFonts w:cs="Calibri"/>
          <w:sz w:val="20"/>
          <w:szCs w:val="20"/>
        </w:rPr>
        <w:t>36.</w:t>
      </w:r>
    </w:p>
    <w:p w:rsidR="0021701F" w:rsidRPr="00E87454" w:rsidRDefault="0021701F" w:rsidP="00BF57A9">
      <w:pPr>
        <w:spacing w:after="0" w:line="240" w:lineRule="auto"/>
        <w:jc w:val="both"/>
        <w:rPr>
          <w:rFonts w:cs="Calibri"/>
          <w:sz w:val="20"/>
          <w:szCs w:val="20"/>
        </w:rPr>
      </w:pPr>
      <w:r w:rsidRPr="00E87454">
        <w:rPr>
          <w:rFonts w:cs="Calibri"/>
          <w:sz w:val="20"/>
          <w:szCs w:val="20"/>
        </w:rPr>
        <w:t>1</w:t>
      </w:r>
      <w:r w:rsidR="00EC2E53" w:rsidRPr="00E87454">
        <w:rPr>
          <w:rFonts w:cs="Calibri"/>
          <w:sz w:val="20"/>
          <w:szCs w:val="20"/>
        </w:rPr>
        <w:t>9</w:t>
      </w:r>
      <w:r w:rsidR="00E87454" w:rsidRPr="00E87454">
        <w:rPr>
          <w:rFonts w:cs="Calibri"/>
          <w:sz w:val="20"/>
          <w:szCs w:val="20"/>
        </w:rPr>
        <w:t xml:space="preserve"> </w:t>
      </w:r>
      <w:r w:rsidRPr="00E87454">
        <w:rPr>
          <w:rFonts w:cs="Calibri"/>
          <w:sz w:val="20"/>
          <w:szCs w:val="20"/>
        </w:rPr>
        <w:t xml:space="preserve">Mamo JC, Proctor SD, Smith D.  Retention of chylomicron remnants by arterial tissue; importance of an efficient clearance mechanism from plasma. </w:t>
      </w:r>
      <w:r w:rsidRPr="00E87454">
        <w:rPr>
          <w:rFonts w:cs="Calibri"/>
          <w:i/>
          <w:sz w:val="20"/>
          <w:szCs w:val="20"/>
        </w:rPr>
        <w:t>Atherosclerosis</w:t>
      </w:r>
      <w:r w:rsidRPr="00E87454">
        <w:rPr>
          <w:rFonts w:cs="Calibri"/>
          <w:sz w:val="20"/>
          <w:szCs w:val="20"/>
        </w:rPr>
        <w:t xml:space="preserve"> 1998;</w:t>
      </w:r>
      <w:r w:rsidR="00B34649" w:rsidRPr="00E87454">
        <w:rPr>
          <w:rFonts w:cs="Calibri"/>
          <w:sz w:val="20"/>
          <w:szCs w:val="20"/>
        </w:rPr>
        <w:t xml:space="preserve"> </w:t>
      </w:r>
      <w:r w:rsidRPr="00E87454">
        <w:rPr>
          <w:rFonts w:cs="Calibri"/>
          <w:b/>
          <w:sz w:val="20"/>
          <w:szCs w:val="20"/>
        </w:rPr>
        <w:t>141</w:t>
      </w:r>
      <w:r w:rsidRPr="00E87454">
        <w:rPr>
          <w:rFonts w:cs="Calibri"/>
          <w:sz w:val="20"/>
          <w:szCs w:val="20"/>
        </w:rPr>
        <w:t xml:space="preserve"> Suppl 1:S63</w:t>
      </w:r>
      <w:r w:rsidR="005A5F5E" w:rsidRPr="00E87454">
        <w:rPr>
          <w:rFonts w:cs="Calibri"/>
          <w:sz w:val="20"/>
          <w:szCs w:val="20"/>
        </w:rPr>
        <w:t>–</w:t>
      </w:r>
      <w:r w:rsidRPr="00E87454">
        <w:rPr>
          <w:rFonts w:cs="Calibri"/>
          <w:sz w:val="20"/>
          <w:szCs w:val="20"/>
        </w:rPr>
        <w:t xml:space="preserve">9. </w:t>
      </w:r>
    </w:p>
    <w:p w:rsidR="0021701F" w:rsidRPr="00E87454" w:rsidRDefault="00EC2E53" w:rsidP="00BF57A9">
      <w:pPr>
        <w:spacing w:after="0" w:line="240" w:lineRule="auto"/>
        <w:jc w:val="both"/>
        <w:rPr>
          <w:rFonts w:cs="Calibri"/>
          <w:sz w:val="20"/>
          <w:szCs w:val="20"/>
        </w:rPr>
      </w:pPr>
      <w:r w:rsidRPr="00E87454">
        <w:rPr>
          <w:rFonts w:cs="Calibri"/>
          <w:sz w:val="20"/>
          <w:szCs w:val="20"/>
          <w:lang w:val="pt-BR"/>
        </w:rPr>
        <w:t>20</w:t>
      </w:r>
      <w:r w:rsidR="00E87454" w:rsidRPr="00E87454">
        <w:rPr>
          <w:rFonts w:cs="Calibri"/>
          <w:sz w:val="20"/>
          <w:szCs w:val="20"/>
          <w:lang w:val="pt-BR"/>
        </w:rPr>
        <w:t xml:space="preserve"> </w:t>
      </w:r>
      <w:r w:rsidR="0021701F" w:rsidRPr="00E87454">
        <w:rPr>
          <w:rFonts w:cs="Calibri"/>
          <w:sz w:val="20"/>
          <w:szCs w:val="20"/>
          <w:lang w:val="pt-BR"/>
        </w:rPr>
        <w:t xml:space="preserve">Di Angelantonio E, Sarwar N, Perry P et al. </w:t>
      </w:r>
      <w:r w:rsidR="0021701F" w:rsidRPr="00E87454">
        <w:rPr>
          <w:rFonts w:cs="Calibri"/>
          <w:sz w:val="20"/>
          <w:szCs w:val="20"/>
        </w:rPr>
        <w:t xml:space="preserve">Major lipids, apolipoproteins, and risk of vascular disease. </w:t>
      </w:r>
      <w:r w:rsidR="0021701F" w:rsidRPr="00E87454">
        <w:rPr>
          <w:rFonts w:cs="Calibri"/>
          <w:i/>
          <w:sz w:val="20"/>
          <w:szCs w:val="20"/>
        </w:rPr>
        <w:t>JAMA</w:t>
      </w:r>
      <w:r w:rsidR="0021701F" w:rsidRPr="00E87454">
        <w:rPr>
          <w:rFonts w:cs="Calibri"/>
          <w:sz w:val="20"/>
          <w:szCs w:val="20"/>
        </w:rPr>
        <w:t xml:space="preserve"> 2009; </w:t>
      </w:r>
      <w:r w:rsidR="0021701F" w:rsidRPr="00E87454">
        <w:rPr>
          <w:rFonts w:cs="Calibri"/>
          <w:b/>
          <w:sz w:val="20"/>
          <w:szCs w:val="20"/>
        </w:rPr>
        <w:t>302</w:t>
      </w:r>
      <w:r w:rsidR="0021701F" w:rsidRPr="00E87454">
        <w:rPr>
          <w:rFonts w:cs="Calibri"/>
          <w:sz w:val="20"/>
          <w:szCs w:val="20"/>
        </w:rPr>
        <w:t>:1993</w:t>
      </w:r>
      <w:r w:rsidR="005A5F5E" w:rsidRPr="00E87454">
        <w:rPr>
          <w:rFonts w:cs="Calibri"/>
          <w:sz w:val="20"/>
          <w:szCs w:val="20"/>
        </w:rPr>
        <w:t>–</w:t>
      </w:r>
      <w:r w:rsidR="0021701F" w:rsidRPr="00E87454">
        <w:rPr>
          <w:rFonts w:cs="Calibri"/>
          <w:sz w:val="20"/>
          <w:szCs w:val="20"/>
        </w:rPr>
        <w:t>2000.</w:t>
      </w:r>
    </w:p>
    <w:p w:rsidR="0021701F" w:rsidRPr="00F762EB" w:rsidRDefault="00EC2E53" w:rsidP="00BF57A9">
      <w:pPr>
        <w:spacing w:after="0" w:line="240" w:lineRule="auto"/>
        <w:jc w:val="both"/>
        <w:rPr>
          <w:rFonts w:cs="Calibri"/>
          <w:sz w:val="20"/>
          <w:szCs w:val="20"/>
          <w:lang w:val="sv-SE"/>
        </w:rPr>
      </w:pPr>
      <w:r w:rsidRPr="00E87454">
        <w:rPr>
          <w:rFonts w:cs="Calibri"/>
          <w:sz w:val="20"/>
          <w:szCs w:val="20"/>
        </w:rPr>
        <w:t>21</w:t>
      </w:r>
      <w:r w:rsidR="00E87454" w:rsidRPr="00E87454">
        <w:rPr>
          <w:rFonts w:cs="Calibri"/>
          <w:sz w:val="20"/>
          <w:szCs w:val="20"/>
        </w:rPr>
        <w:t xml:space="preserve"> </w:t>
      </w:r>
      <w:r w:rsidR="0021701F" w:rsidRPr="00E87454">
        <w:rPr>
          <w:rFonts w:cs="Calibri"/>
          <w:sz w:val="20"/>
          <w:szCs w:val="20"/>
        </w:rPr>
        <w:t xml:space="preserve">Ng DS, Wong NC, Hegele RA. HDL-is it too big to fail? </w:t>
      </w:r>
      <w:r w:rsidR="0021701F" w:rsidRPr="00F762EB">
        <w:rPr>
          <w:rFonts w:cs="Calibri"/>
          <w:i/>
          <w:sz w:val="20"/>
          <w:szCs w:val="20"/>
          <w:lang w:val="sv-SE"/>
        </w:rPr>
        <w:t>Nat Rev Endocrinol 2013</w:t>
      </w:r>
      <w:r w:rsidR="005C15EF" w:rsidRPr="00F762EB">
        <w:rPr>
          <w:rFonts w:cs="Calibri"/>
          <w:i/>
          <w:sz w:val="20"/>
          <w:szCs w:val="20"/>
          <w:lang w:val="sv-SE"/>
        </w:rPr>
        <w:t>;</w:t>
      </w:r>
      <w:r w:rsidR="005C15EF" w:rsidRPr="00F762EB">
        <w:rPr>
          <w:rFonts w:cs="Calibri"/>
          <w:sz w:val="20"/>
          <w:szCs w:val="20"/>
          <w:lang w:val="sv-SE"/>
        </w:rPr>
        <w:t xml:space="preserve"> </w:t>
      </w:r>
      <w:r w:rsidR="00604EB7" w:rsidRPr="00F762EB">
        <w:rPr>
          <w:rFonts w:cs="Calibri"/>
          <w:b/>
          <w:sz w:val="20"/>
          <w:szCs w:val="20"/>
          <w:lang w:val="sv-SE"/>
        </w:rPr>
        <w:t>9</w:t>
      </w:r>
      <w:r w:rsidR="00604EB7" w:rsidRPr="00F762EB">
        <w:rPr>
          <w:rFonts w:cs="Calibri"/>
          <w:sz w:val="20"/>
          <w:szCs w:val="20"/>
          <w:lang w:val="sv-SE"/>
        </w:rPr>
        <w:t>:308–12</w:t>
      </w:r>
      <w:r w:rsidR="00B34649" w:rsidRPr="00F762EB">
        <w:rPr>
          <w:rFonts w:cs="Calibri"/>
          <w:sz w:val="20"/>
          <w:szCs w:val="20"/>
          <w:lang w:val="sv-SE"/>
        </w:rPr>
        <w:t>.</w:t>
      </w:r>
    </w:p>
    <w:p w:rsidR="0021701F" w:rsidRPr="00E87454" w:rsidRDefault="00EC2E53" w:rsidP="00BF57A9">
      <w:pPr>
        <w:spacing w:after="0" w:line="240" w:lineRule="auto"/>
        <w:jc w:val="both"/>
        <w:rPr>
          <w:rFonts w:cs="Calibri"/>
          <w:sz w:val="20"/>
          <w:szCs w:val="20"/>
        </w:rPr>
      </w:pPr>
      <w:r w:rsidRPr="00F762EB">
        <w:rPr>
          <w:rFonts w:cs="Calibri"/>
          <w:sz w:val="20"/>
          <w:szCs w:val="20"/>
          <w:lang w:val="sv-SE"/>
        </w:rPr>
        <w:lastRenderedPageBreak/>
        <w:t>22</w:t>
      </w:r>
      <w:r w:rsidR="00E87454" w:rsidRPr="00F762EB">
        <w:rPr>
          <w:rFonts w:cs="Calibri"/>
          <w:sz w:val="20"/>
          <w:szCs w:val="20"/>
          <w:lang w:val="sv-SE"/>
        </w:rPr>
        <w:t xml:space="preserve"> </w:t>
      </w:r>
      <w:r w:rsidR="0021701F" w:rsidRPr="00F762EB">
        <w:rPr>
          <w:rFonts w:cs="Calibri"/>
          <w:sz w:val="20"/>
          <w:szCs w:val="20"/>
          <w:lang w:val="sv-SE"/>
        </w:rPr>
        <w:t xml:space="preserve">Sarwar N, Sandhu MS, Ricketts SL et al. </w:t>
      </w:r>
      <w:r w:rsidR="0021701F" w:rsidRPr="00E87454">
        <w:rPr>
          <w:rFonts w:cs="Calibri"/>
          <w:sz w:val="20"/>
          <w:szCs w:val="20"/>
        </w:rPr>
        <w:t xml:space="preserve">Triglyceride-mediated pathways and coronary disease: collaborative analysis of 101 studies. </w:t>
      </w:r>
      <w:r w:rsidR="0021701F" w:rsidRPr="00E87454">
        <w:rPr>
          <w:rFonts w:cs="Calibri"/>
          <w:i/>
          <w:sz w:val="20"/>
          <w:szCs w:val="20"/>
        </w:rPr>
        <w:t xml:space="preserve">Lancet </w:t>
      </w:r>
      <w:r w:rsidR="0021701F" w:rsidRPr="00E87454">
        <w:rPr>
          <w:rFonts w:cs="Calibri"/>
          <w:sz w:val="20"/>
          <w:szCs w:val="20"/>
        </w:rPr>
        <w:t xml:space="preserve">2010; </w:t>
      </w:r>
      <w:r w:rsidR="0021701F" w:rsidRPr="00E87454">
        <w:rPr>
          <w:rFonts w:cs="Calibri"/>
          <w:b/>
          <w:sz w:val="20"/>
          <w:szCs w:val="20"/>
        </w:rPr>
        <w:t>375</w:t>
      </w:r>
      <w:r w:rsidR="0021701F" w:rsidRPr="00E87454">
        <w:rPr>
          <w:rFonts w:cs="Calibri"/>
          <w:sz w:val="20"/>
          <w:szCs w:val="20"/>
        </w:rPr>
        <w:t>:1634</w:t>
      </w:r>
      <w:r w:rsidR="005A5F5E" w:rsidRPr="00E87454">
        <w:rPr>
          <w:rFonts w:cs="Calibri"/>
          <w:sz w:val="20"/>
          <w:szCs w:val="20"/>
        </w:rPr>
        <w:t>–</w:t>
      </w:r>
      <w:r w:rsidR="0021701F" w:rsidRPr="00E87454">
        <w:rPr>
          <w:rFonts w:cs="Calibri"/>
          <w:sz w:val="20"/>
          <w:szCs w:val="20"/>
        </w:rPr>
        <w:t>9.</w:t>
      </w:r>
    </w:p>
    <w:p w:rsidR="00EC2E53" w:rsidRPr="00E87454" w:rsidRDefault="00EC2E53" w:rsidP="00BF57A9">
      <w:pPr>
        <w:spacing w:after="0" w:line="240" w:lineRule="auto"/>
        <w:jc w:val="both"/>
        <w:rPr>
          <w:rFonts w:cs="Calibri"/>
          <w:sz w:val="20"/>
          <w:szCs w:val="20"/>
        </w:rPr>
      </w:pPr>
      <w:r w:rsidRPr="00E87454">
        <w:rPr>
          <w:rFonts w:cs="Calibri"/>
          <w:sz w:val="20"/>
          <w:szCs w:val="20"/>
        </w:rPr>
        <w:t>23</w:t>
      </w:r>
      <w:r w:rsidR="00E87454" w:rsidRPr="00E87454">
        <w:rPr>
          <w:rFonts w:cs="Calibri"/>
          <w:sz w:val="20"/>
          <w:szCs w:val="20"/>
        </w:rPr>
        <w:t xml:space="preserve"> </w:t>
      </w:r>
      <w:r w:rsidRPr="00E87454">
        <w:rPr>
          <w:rFonts w:cs="Calibri"/>
          <w:sz w:val="20"/>
          <w:szCs w:val="20"/>
        </w:rPr>
        <w:t xml:space="preserve">Jun M, Foote C, Lv J et al. Effects of fibrates on cardiovascular outcomes: a systematic review and meta-analysis. </w:t>
      </w:r>
      <w:r w:rsidRPr="00E87454">
        <w:rPr>
          <w:rFonts w:cs="Calibri"/>
          <w:i/>
          <w:sz w:val="20"/>
          <w:szCs w:val="20"/>
        </w:rPr>
        <w:t xml:space="preserve">Lancet </w:t>
      </w:r>
      <w:r w:rsidRPr="00E87454">
        <w:rPr>
          <w:rFonts w:cs="Calibri"/>
          <w:sz w:val="20"/>
          <w:szCs w:val="20"/>
        </w:rPr>
        <w:t xml:space="preserve">2010; </w:t>
      </w:r>
      <w:r w:rsidRPr="00E87454">
        <w:rPr>
          <w:rFonts w:cs="Calibri"/>
          <w:b/>
          <w:sz w:val="20"/>
          <w:szCs w:val="20"/>
        </w:rPr>
        <w:t>375</w:t>
      </w:r>
      <w:r w:rsidRPr="00E87454">
        <w:rPr>
          <w:rFonts w:cs="Calibri"/>
          <w:sz w:val="20"/>
          <w:szCs w:val="20"/>
        </w:rPr>
        <w:t xml:space="preserve">:1875–84. </w:t>
      </w:r>
    </w:p>
    <w:p w:rsidR="00EC2E53" w:rsidRPr="00E87454" w:rsidRDefault="00EC2E53" w:rsidP="00BF57A9">
      <w:pPr>
        <w:spacing w:after="0" w:line="240" w:lineRule="auto"/>
        <w:jc w:val="both"/>
        <w:rPr>
          <w:rFonts w:cs="Calibri"/>
          <w:sz w:val="20"/>
          <w:szCs w:val="20"/>
        </w:rPr>
      </w:pPr>
      <w:r w:rsidRPr="00E87454">
        <w:rPr>
          <w:rFonts w:cs="Calibri"/>
          <w:sz w:val="20"/>
          <w:szCs w:val="20"/>
        </w:rPr>
        <w:t>24</w:t>
      </w:r>
      <w:r w:rsidR="00E87454" w:rsidRPr="00E87454">
        <w:rPr>
          <w:rFonts w:cs="Calibri"/>
          <w:sz w:val="20"/>
          <w:szCs w:val="20"/>
        </w:rPr>
        <w:t xml:space="preserve"> </w:t>
      </w:r>
      <w:r w:rsidRPr="00E87454">
        <w:rPr>
          <w:rFonts w:cs="Calibri"/>
          <w:sz w:val="20"/>
          <w:szCs w:val="20"/>
        </w:rPr>
        <w:t xml:space="preserve">Sacks FM, Carey VJ, Fruchart JC. Combination lipid therapy in type 2 diabetes. </w:t>
      </w:r>
      <w:r w:rsidRPr="00E87454">
        <w:rPr>
          <w:rFonts w:cs="Calibri"/>
          <w:i/>
          <w:sz w:val="20"/>
          <w:szCs w:val="20"/>
        </w:rPr>
        <w:t>N Engl J Med</w:t>
      </w:r>
      <w:r w:rsidRPr="00E87454">
        <w:rPr>
          <w:rFonts w:cs="Calibri"/>
          <w:sz w:val="20"/>
          <w:szCs w:val="20"/>
        </w:rPr>
        <w:t xml:space="preserve"> 2010; </w:t>
      </w:r>
      <w:r w:rsidRPr="00E87454">
        <w:rPr>
          <w:rFonts w:cs="Calibri"/>
          <w:b/>
          <w:sz w:val="20"/>
          <w:szCs w:val="20"/>
        </w:rPr>
        <w:t>363</w:t>
      </w:r>
      <w:r w:rsidRPr="00E87454">
        <w:rPr>
          <w:rFonts w:cs="Calibri"/>
          <w:sz w:val="20"/>
          <w:szCs w:val="20"/>
        </w:rPr>
        <w:t>:692–4.</w:t>
      </w:r>
    </w:p>
    <w:p w:rsidR="00EC2E53" w:rsidRPr="00F762EB" w:rsidRDefault="00EC2E53" w:rsidP="00BF57A9">
      <w:pPr>
        <w:spacing w:after="0" w:line="240" w:lineRule="auto"/>
        <w:jc w:val="both"/>
        <w:rPr>
          <w:rFonts w:cs="Calibri"/>
          <w:sz w:val="20"/>
          <w:szCs w:val="20"/>
          <w:lang w:val="sv-SE"/>
        </w:rPr>
      </w:pPr>
      <w:r w:rsidRPr="00E87454">
        <w:rPr>
          <w:rFonts w:cs="Calibri"/>
          <w:sz w:val="20"/>
          <w:szCs w:val="20"/>
        </w:rPr>
        <w:t>25</w:t>
      </w:r>
      <w:r w:rsidR="00E87454" w:rsidRPr="00E87454">
        <w:rPr>
          <w:rFonts w:cs="Calibri"/>
          <w:sz w:val="20"/>
          <w:szCs w:val="20"/>
        </w:rPr>
        <w:t xml:space="preserve"> </w:t>
      </w:r>
      <w:r w:rsidRPr="00E87454">
        <w:rPr>
          <w:rFonts w:cs="Calibri"/>
          <w:sz w:val="20"/>
          <w:szCs w:val="20"/>
        </w:rPr>
        <w:t xml:space="preserve">AIM-HIGH Investigators; Boden WE, Probstfield JL, Anderson T et al. Niacin in patients with low HDL cholesterol levels receiving intensive statin therapy. </w:t>
      </w:r>
      <w:r w:rsidRPr="00F762EB">
        <w:rPr>
          <w:rFonts w:cs="Calibri"/>
          <w:i/>
          <w:sz w:val="20"/>
          <w:szCs w:val="20"/>
          <w:lang w:val="sv-SE"/>
        </w:rPr>
        <w:t>N Engl J Med</w:t>
      </w:r>
      <w:r w:rsidRPr="00F762EB">
        <w:rPr>
          <w:rFonts w:cs="Calibri"/>
          <w:sz w:val="20"/>
          <w:szCs w:val="20"/>
          <w:lang w:val="sv-SE"/>
        </w:rPr>
        <w:t xml:space="preserve"> 2011; </w:t>
      </w:r>
      <w:r w:rsidRPr="00F762EB">
        <w:rPr>
          <w:rFonts w:cs="Calibri"/>
          <w:b/>
          <w:sz w:val="20"/>
          <w:szCs w:val="20"/>
          <w:lang w:val="sv-SE"/>
        </w:rPr>
        <w:t>365</w:t>
      </w:r>
      <w:r w:rsidRPr="00F762EB">
        <w:rPr>
          <w:rFonts w:cs="Calibri"/>
          <w:sz w:val="20"/>
          <w:szCs w:val="20"/>
          <w:lang w:val="sv-SE"/>
        </w:rPr>
        <w:t>:2255–67.</w:t>
      </w:r>
    </w:p>
    <w:p w:rsidR="00EC2E53" w:rsidRPr="00E87454" w:rsidRDefault="00EC2E53" w:rsidP="00BF57A9">
      <w:pPr>
        <w:spacing w:after="0" w:line="240" w:lineRule="auto"/>
        <w:jc w:val="both"/>
        <w:rPr>
          <w:rFonts w:cs="Calibri"/>
          <w:sz w:val="20"/>
          <w:szCs w:val="20"/>
          <w:lang w:val="nl-NL"/>
        </w:rPr>
      </w:pPr>
      <w:r w:rsidRPr="00F762EB">
        <w:rPr>
          <w:rFonts w:cs="Calibri"/>
          <w:sz w:val="20"/>
          <w:szCs w:val="20"/>
          <w:lang w:val="sv-SE"/>
        </w:rPr>
        <w:t>26</w:t>
      </w:r>
      <w:r w:rsidR="00E87454" w:rsidRPr="00F762EB">
        <w:rPr>
          <w:rFonts w:cs="Calibri"/>
          <w:sz w:val="20"/>
          <w:szCs w:val="20"/>
          <w:lang w:val="sv-SE"/>
        </w:rPr>
        <w:t xml:space="preserve"> </w:t>
      </w:r>
      <w:r w:rsidRPr="00F762EB">
        <w:rPr>
          <w:rFonts w:cs="Calibri"/>
          <w:sz w:val="20"/>
          <w:szCs w:val="20"/>
          <w:lang w:val="sv-SE"/>
        </w:rPr>
        <w:t xml:space="preserve">Rizos EC, Ntzani EE, Bika E, Kostapanos MS, Elisaf MS. </w:t>
      </w:r>
      <w:r w:rsidRPr="00E87454">
        <w:rPr>
          <w:rFonts w:cs="Calibri"/>
          <w:sz w:val="20"/>
          <w:szCs w:val="20"/>
        </w:rPr>
        <w:t xml:space="preserve">Association between omega-3 fatty acid supplementation and risk of major cardiovascular disease events: a systematic review and meta-analysis. </w:t>
      </w:r>
      <w:r w:rsidRPr="00E87454">
        <w:rPr>
          <w:rFonts w:cs="Calibri"/>
          <w:i/>
          <w:sz w:val="20"/>
          <w:szCs w:val="20"/>
          <w:lang w:val="nl-NL"/>
        </w:rPr>
        <w:t>JAMA</w:t>
      </w:r>
      <w:r w:rsidRPr="00E87454">
        <w:rPr>
          <w:rFonts w:cs="Calibri"/>
          <w:sz w:val="20"/>
          <w:szCs w:val="20"/>
          <w:lang w:val="nl-NL"/>
        </w:rPr>
        <w:t xml:space="preserve"> 2012; </w:t>
      </w:r>
      <w:r w:rsidRPr="00E87454">
        <w:rPr>
          <w:rFonts w:cs="Calibri"/>
          <w:b/>
          <w:sz w:val="20"/>
          <w:szCs w:val="20"/>
          <w:lang w:val="nl-NL"/>
        </w:rPr>
        <w:t>308</w:t>
      </w:r>
      <w:r w:rsidRPr="00E87454">
        <w:rPr>
          <w:rFonts w:cs="Calibri"/>
          <w:sz w:val="20"/>
          <w:szCs w:val="20"/>
          <w:lang w:val="nl-NL"/>
        </w:rPr>
        <w:t>:1024–33.</w:t>
      </w:r>
    </w:p>
    <w:p w:rsidR="0021701F" w:rsidRPr="00E87454" w:rsidRDefault="0021701F" w:rsidP="00BF57A9">
      <w:pPr>
        <w:spacing w:after="0" w:line="240" w:lineRule="auto"/>
        <w:jc w:val="both"/>
        <w:rPr>
          <w:rFonts w:cs="Calibri"/>
          <w:sz w:val="20"/>
          <w:szCs w:val="20"/>
        </w:rPr>
      </w:pPr>
      <w:r w:rsidRPr="00E87454">
        <w:rPr>
          <w:rFonts w:cs="Calibri"/>
          <w:sz w:val="20"/>
          <w:szCs w:val="20"/>
        </w:rPr>
        <w:t>2</w:t>
      </w:r>
      <w:r w:rsidR="00EC2E53" w:rsidRPr="00E87454">
        <w:rPr>
          <w:rFonts w:cs="Calibri"/>
          <w:sz w:val="20"/>
          <w:szCs w:val="20"/>
        </w:rPr>
        <w:t>7</w:t>
      </w:r>
      <w:r w:rsidR="00E87454" w:rsidRPr="00E87454">
        <w:rPr>
          <w:rFonts w:cs="Calibri"/>
          <w:sz w:val="20"/>
          <w:szCs w:val="20"/>
        </w:rPr>
        <w:t xml:space="preserve"> </w:t>
      </w:r>
      <w:r w:rsidRPr="00E87454">
        <w:rPr>
          <w:rFonts w:cs="Calibri"/>
          <w:sz w:val="20"/>
          <w:szCs w:val="20"/>
        </w:rPr>
        <w:t xml:space="preserve">Hegele RA. Plasma lipoproteins: genetic influences and clinical implications. </w:t>
      </w:r>
      <w:r w:rsidRPr="00E87454">
        <w:rPr>
          <w:rFonts w:cs="Calibri"/>
          <w:i/>
          <w:sz w:val="20"/>
          <w:szCs w:val="20"/>
        </w:rPr>
        <w:t>Nat Rev Genet</w:t>
      </w:r>
      <w:r w:rsidRPr="00E87454">
        <w:rPr>
          <w:rFonts w:cs="Calibri"/>
          <w:sz w:val="20"/>
          <w:szCs w:val="20"/>
        </w:rPr>
        <w:t xml:space="preserve"> 2009; </w:t>
      </w:r>
      <w:r w:rsidRPr="00E87454">
        <w:rPr>
          <w:rFonts w:cs="Calibri"/>
          <w:b/>
          <w:sz w:val="20"/>
          <w:szCs w:val="20"/>
        </w:rPr>
        <w:t>10</w:t>
      </w:r>
      <w:r w:rsidRPr="00E87454">
        <w:rPr>
          <w:rFonts w:cs="Calibri"/>
          <w:sz w:val="20"/>
          <w:szCs w:val="20"/>
        </w:rPr>
        <w:t>:109</w:t>
      </w:r>
      <w:r w:rsidR="005A5F5E" w:rsidRPr="00E87454">
        <w:rPr>
          <w:rFonts w:cs="Calibri"/>
          <w:sz w:val="20"/>
          <w:szCs w:val="20"/>
        </w:rPr>
        <w:t>–</w:t>
      </w:r>
      <w:r w:rsidRPr="00E87454">
        <w:rPr>
          <w:rFonts w:cs="Calibri"/>
          <w:sz w:val="20"/>
          <w:szCs w:val="20"/>
        </w:rPr>
        <w:t>21</w:t>
      </w:r>
      <w:r w:rsidR="00B34649" w:rsidRPr="00E87454">
        <w:rPr>
          <w:rFonts w:cs="Calibri"/>
          <w:sz w:val="20"/>
          <w:szCs w:val="20"/>
        </w:rPr>
        <w:t>.</w:t>
      </w:r>
    </w:p>
    <w:p w:rsidR="0021701F" w:rsidRPr="00E87454" w:rsidRDefault="0021701F" w:rsidP="00BF57A9">
      <w:pPr>
        <w:spacing w:after="0" w:line="240" w:lineRule="auto"/>
        <w:jc w:val="both"/>
        <w:rPr>
          <w:rFonts w:cs="Calibri"/>
          <w:sz w:val="20"/>
          <w:szCs w:val="20"/>
        </w:rPr>
      </w:pPr>
      <w:r w:rsidRPr="00E87454">
        <w:rPr>
          <w:rFonts w:cs="Calibri"/>
          <w:sz w:val="20"/>
          <w:szCs w:val="20"/>
        </w:rPr>
        <w:t>2</w:t>
      </w:r>
      <w:r w:rsidR="00EC2E53" w:rsidRPr="00E87454">
        <w:rPr>
          <w:rFonts w:cs="Calibri"/>
          <w:sz w:val="20"/>
          <w:szCs w:val="20"/>
        </w:rPr>
        <w:t>8</w:t>
      </w:r>
      <w:r w:rsidR="00E87454" w:rsidRPr="00E87454">
        <w:rPr>
          <w:rFonts w:cs="Calibri"/>
          <w:sz w:val="20"/>
          <w:szCs w:val="20"/>
        </w:rPr>
        <w:t xml:space="preserve"> </w:t>
      </w:r>
      <w:r w:rsidRPr="00E87454">
        <w:rPr>
          <w:rFonts w:cs="Calibri"/>
          <w:sz w:val="20"/>
          <w:szCs w:val="20"/>
        </w:rPr>
        <w:t xml:space="preserve">Soutar AK, Naoumova RP. Mechanisms of disease: genetic causes of familial hypercholesterolemia.  </w:t>
      </w:r>
      <w:r w:rsidRPr="00E87454">
        <w:rPr>
          <w:rFonts w:cs="Calibri"/>
          <w:i/>
          <w:sz w:val="20"/>
          <w:szCs w:val="20"/>
        </w:rPr>
        <w:t>Nat Clin Pract Cardiovasc Med</w:t>
      </w:r>
      <w:r w:rsidRPr="00E87454">
        <w:rPr>
          <w:rFonts w:cs="Calibri"/>
          <w:sz w:val="20"/>
          <w:szCs w:val="20"/>
        </w:rPr>
        <w:t xml:space="preserve"> 2007;</w:t>
      </w:r>
      <w:r w:rsidR="00B34649" w:rsidRPr="00E87454">
        <w:rPr>
          <w:rFonts w:cs="Calibri"/>
          <w:sz w:val="20"/>
          <w:szCs w:val="20"/>
        </w:rPr>
        <w:t xml:space="preserve"> </w:t>
      </w:r>
      <w:r w:rsidRPr="00E87454">
        <w:rPr>
          <w:rFonts w:cs="Calibri"/>
          <w:b/>
          <w:sz w:val="20"/>
          <w:szCs w:val="20"/>
        </w:rPr>
        <w:t>4</w:t>
      </w:r>
      <w:r w:rsidRPr="00E87454">
        <w:rPr>
          <w:rFonts w:cs="Calibri"/>
          <w:sz w:val="20"/>
          <w:szCs w:val="20"/>
        </w:rPr>
        <w:t>:214</w:t>
      </w:r>
      <w:r w:rsidR="005A5F5E" w:rsidRPr="00E87454">
        <w:rPr>
          <w:rFonts w:cs="Calibri"/>
          <w:sz w:val="20"/>
          <w:szCs w:val="20"/>
        </w:rPr>
        <w:t>–</w:t>
      </w:r>
      <w:r w:rsidRPr="00E87454">
        <w:rPr>
          <w:rFonts w:cs="Calibri"/>
          <w:sz w:val="20"/>
          <w:szCs w:val="20"/>
        </w:rPr>
        <w:t>25</w:t>
      </w:r>
      <w:r w:rsidR="00B34649" w:rsidRPr="00E87454">
        <w:rPr>
          <w:rFonts w:cs="Calibri"/>
          <w:sz w:val="20"/>
          <w:szCs w:val="20"/>
        </w:rPr>
        <w:t>.</w:t>
      </w:r>
    </w:p>
    <w:p w:rsidR="0021701F" w:rsidRPr="00E87454" w:rsidRDefault="0021701F" w:rsidP="00BF57A9">
      <w:pPr>
        <w:spacing w:after="0" w:line="240" w:lineRule="auto"/>
        <w:jc w:val="both"/>
        <w:rPr>
          <w:rFonts w:cs="Calibri"/>
          <w:sz w:val="20"/>
          <w:szCs w:val="20"/>
        </w:rPr>
      </w:pPr>
      <w:r w:rsidRPr="00E87454">
        <w:rPr>
          <w:rFonts w:cs="Calibri"/>
          <w:sz w:val="20"/>
          <w:szCs w:val="20"/>
        </w:rPr>
        <w:t>2</w:t>
      </w:r>
      <w:r w:rsidR="00EC2E53" w:rsidRPr="00E87454">
        <w:rPr>
          <w:rFonts w:cs="Calibri"/>
          <w:sz w:val="20"/>
          <w:szCs w:val="20"/>
        </w:rPr>
        <w:t>9</w:t>
      </w:r>
      <w:r w:rsidR="00E87454" w:rsidRPr="00E87454">
        <w:rPr>
          <w:rFonts w:cs="Calibri"/>
          <w:sz w:val="20"/>
          <w:szCs w:val="20"/>
        </w:rPr>
        <w:t xml:space="preserve"> </w:t>
      </w:r>
      <w:r w:rsidRPr="00E87454">
        <w:rPr>
          <w:rFonts w:cs="Calibri"/>
          <w:sz w:val="20"/>
          <w:szCs w:val="20"/>
        </w:rPr>
        <w:t xml:space="preserve">Hegele RA, Ban MR, Hsueh N </w:t>
      </w:r>
      <w:r w:rsidR="0035594B" w:rsidRPr="00E87454">
        <w:rPr>
          <w:rFonts w:cs="Calibri"/>
          <w:sz w:val="20"/>
          <w:szCs w:val="20"/>
        </w:rPr>
        <w:t>et al</w:t>
      </w:r>
      <w:r w:rsidRPr="00E87454">
        <w:rPr>
          <w:rFonts w:cs="Calibri"/>
          <w:sz w:val="20"/>
          <w:szCs w:val="20"/>
        </w:rPr>
        <w:t xml:space="preserve">. A polygenic basis for four classical Fredrickson hyperlipoproteinemia phenotypes that are characterized by hypertriglyceridemia. </w:t>
      </w:r>
      <w:r w:rsidRPr="00E87454">
        <w:rPr>
          <w:rFonts w:cs="Calibri"/>
          <w:i/>
          <w:sz w:val="20"/>
          <w:szCs w:val="20"/>
        </w:rPr>
        <w:t>Hum Mol Genet</w:t>
      </w:r>
      <w:r w:rsidRPr="00E87454">
        <w:rPr>
          <w:rFonts w:cs="Calibri"/>
          <w:sz w:val="20"/>
          <w:szCs w:val="20"/>
        </w:rPr>
        <w:t xml:space="preserve"> 2009; </w:t>
      </w:r>
      <w:r w:rsidRPr="00E87454">
        <w:rPr>
          <w:rFonts w:cs="Calibri"/>
          <w:b/>
          <w:sz w:val="20"/>
          <w:szCs w:val="20"/>
        </w:rPr>
        <w:t>18</w:t>
      </w:r>
      <w:r w:rsidRPr="00E87454">
        <w:rPr>
          <w:rFonts w:cs="Calibri"/>
          <w:sz w:val="20"/>
          <w:szCs w:val="20"/>
        </w:rPr>
        <w:t>:4189</w:t>
      </w:r>
      <w:r w:rsidR="005A5F5E" w:rsidRPr="00E87454">
        <w:rPr>
          <w:rFonts w:cs="Calibri"/>
          <w:sz w:val="20"/>
          <w:szCs w:val="20"/>
        </w:rPr>
        <w:t>–</w:t>
      </w:r>
      <w:r w:rsidRPr="00E87454">
        <w:rPr>
          <w:rFonts w:cs="Calibri"/>
          <w:sz w:val="20"/>
          <w:szCs w:val="20"/>
        </w:rPr>
        <w:t xml:space="preserve">94. </w:t>
      </w:r>
    </w:p>
    <w:p w:rsidR="0021701F" w:rsidRPr="00E87454" w:rsidRDefault="00EC2E53" w:rsidP="00BF57A9">
      <w:pPr>
        <w:spacing w:after="0" w:line="240" w:lineRule="auto"/>
        <w:jc w:val="both"/>
        <w:rPr>
          <w:rFonts w:cs="Calibri"/>
          <w:sz w:val="20"/>
          <w:szCs w:val="20"/>
        </w:rPr>
      </w:pPr>
      <w:r w:rsidRPr="00E87454">
        <w:rPr>
          <w:rFonts w:cs="Calibri"/>
          <w:sz w:val="20"/>
          <w:szCs w:val="20"/>
        </w:rPr>
        <w:t>30</w:t>
      </w:r>
      <w:r w:rsidR="00E87454" w:rsidRPr="00E87454">
        <w:rPr>
          <w:rFonts w:cs="Calibri"/>
          <w:sz w:val="20"/>
          <w:szCs w:val="20"/>
        </w:rPr>
        <w:t xml:space="preserve"> </w:t>
      </w:r>
      <w:r w:rsidR="0021701F" w:rsidRPr="00E87454">
        <w:rPr>
          <w:rFonts w:cs="Calibri"/>
          <w:sz w:val="20"/>
          <w:szCs w:val="20"/>
        </w:rPr>
        <w:t xml:space="preserve">Johansen CT, Wang J, Lanktree MB et al. An increased burden of common and rare lipid-associated risk alleles contributes to the phenotypic spectrum of hypertriglyceridemia. </w:t>
      </w:r>
      <w:r w:rsidR="0021701F" w:rsidRPr="00E87454">
        <w:rPr>
          <w:rFonts w:cs="Calibri"/>
          <w:i/>
          <w:sz w:val="20"/>
          <w:szCs w:val="20"/>
        </w:rPr>
        <w:t>Arterioscler Thromb Vasc Biol</w:t>
      </w:r>
      <w:r w:rsidR="0021701F" w:rsidRPr="00E87454">
        <w:rPr>
          <w:rFonts w:cs="Calibri"/>
          <w:sz w:val="20"/>
          <w:szCs w:val="20"/>
        </w:rPr>
        <w:t xml:space="preserve"> 2011</w:t>
      </w:r>
      <w:r w:rsidR="0035594B" w:rsidRPr="00E87454">
        <w:rPr>
          <w:rFonts w:cs="Calibri"/>
          <w:sz w:val="20"/>
          <w:szCs w:val="20"/>
        </w:rPr>
        <w:t>;</w:t>
      </w:r>
      <w:r w:rsidR="0021701F" w:rsidRPr="00E87454">
        <w:rPr>
          <w:rFonts w:cs="Calibri"/>
          <w:sz w:val="20"/>
          <w:szCs w:val="20"/>
        </w:rPr>
        <w:t xml:space="preserve"> </w:t>
      </w:r>
      <w:r w:rsidR="0021701F" w:rsidRPr="00E87454">
        <w:rPr>
          <w:rFonts w:cs="Calibri"/>
          <w:b/>
          <w:sz w:val="20"/>
          <w:szCs w:val="20"/>
        </w:rPr>
        <w:t>31</w:t>
      </w:r>
      <w:r w:rsidR="0021701F" w:rsidRPr="00E87454">
        <w:rPr>
          <w:rFonts w:cs="Calibri"/>
          <w:sz w:val="20"/>
          <w:szCs w:val="20"/>
        </w:rPr>
        <w:t>:1916</w:t>
      </w:r>
      <w:r w:rsidR="005A5F5E" w:rsidRPr="00E87454">
        <w:rPr>
          <w:rFonts w:cs="Calibri"/>
          <w:sz w:val="20"/>
          <w:szCs w:val="20"/>
        </w:rPr>
        <w:t>–</w:t>
      </w:r>
      <w:r w:rsidR="0021701F" w:rsidRPr="00E87454">
        <w:rPr>
          <w:rFonts w:cs="Calibri"/>
          <w:sz w:val="20"/>
          <w:szCs w:val="20"/>
        </w:rPr>
        <w:t>26.</w:t>
      </w:r>
    </w:p>
    <w:p w:rsidR="0021701F" w:rsidRPr="00E87454" w:rsidRDefault="00EC2E53" w:rsidP="00BF57A9">
      <w:pPr>
        <w:spacing w:after="0" w:line="240" w:lineRule="auto"/>
        <w:jc w:val="both"/>
        <w:rPr>
          <w:rFonts w:cs="Calibri"/>
          <w:sz w:val="20"/>
          <w:szCs w:val="20"/>
        </w:rPr>
      </w:pPr>
      <w:r w:rsidRPr="00E87454">
        <w:rPr>
          <w:rFonts w:cs="Calibri"/>
          <w:sz w:val="20"/>
          <w:szCs w:val="20"/>
        </w:rPr>
        <w:t>31</w:t>
      </w:r>
      <w:r w:rsidR="00E87454" w:rsidRPr="00E87454">
        <w:rPr>
          <w:rFonts w:cs="Calibri"/>
          <w:sz w:val="20"/>
          <w:szCs w:val="20"/>
        </w:rPr>
        <w:t xml:space="preserve"> </w:t>
      </w:r>
      <w:r w:rsidR="0021701F" w:rsidRPr="00E87454">
        <w:rPr>
          <w:rFonts w:cs="Calibri"/>
          <w:sz w:val="20"/>
          <w:szCs w:val="20"/>
        </w:rPr>
        <w:t xml:space="preserve">Johansen CT, Kathiresan S, Hegele RA. Genetic determinants of plasma triglycerides. </w:t>
      </w:r>
      <w:r w:rsidR="0021701F" w:rsidRPr="00E87454">
        <w:rPr>
          <w:rFonts w:cs="Calibri"/>
          <w:i/>
          <w:sz w:val="20"/>
          <w:szCs w:val="20"/>
        </w:rPr>
        <w:t>J Lipid Res</w:t>
      </w:r>
      <w:r w:rsidR="0021701F" w:rsidRPr="00E87454">
        <w:rPr>
          <w:rFonts w:cs="Calibri"/>
          <w:sz w:val="20"/>
          <w:szCs w:val="20"/>
        </w:rPr>
        <w:t xml:space="preserve"> 2011</w:t>
      </w:r>
      <w:r w:rsidR="0035594B" w:rsidRPr="00E87454">
        <w:rPr>
          <w:rFonts w:cs="Calibri"/>
          <w:sz w:val="20"/>
          <w:szCs w:val="20"/>
        </w:rPr>
        <w:t xml:space="preserve">; </w:t>
      </w:r>
      <w:r w:rsidR="0021701F" w:rsidRPr="00E87454">
        <w:rPr>
          <w:rFonts w:cs="Calibri"/>
          <w:b/>
          <w:sz w:val="20"/>
          <w:szCs w:val="20"/>
        </w:rPr>
        <w:t>52</w:t>
      </w:r>
      <w:r w:rsidR="0021701F" w:rsidRPr="00E87454">
        <w:rPr>
          <w:rFonts w:cs="Calibri"/>
          <w:sz w:val="20"/>
          <w:szCs w:val="20"/>
        </w:rPr>
        <w:t>:189</w:t>
      </w:r>
      <w:r w:rsidR="005A5F5E" w:rsidRPr="00E87454">
        <w:rPr>
          <w:rFonts w:cs="Calibri"/>
          <w:sz w:val="20"/>
          <w:szCs w:val="20"/>
        </w:rPr>
        <w:t>–</w:t>
      </w:r>
      <w:r w:rsidR="0021701F" w:rsidRPr="00E87454">
        <w:rPr>
          <w:rFonts w:cs="Calibri"/>
          <w:sz w:val="20"/>
          <w:szCs w:val="20"/>
        </w:rPr>
        <w:t>206.</w:t>
      </w:r>
    </w:p>
    <w:p w:rsidR="0021701F" w:rsidRPr="00E87454" w:rsidRDefault="00EC2E53" w:rsidP="00BF57A9">
      <w:pPr>
        <w:spacing w:after="0" w:line="240" w:lineRule="auto"/>
        <w:jc w:val="both"/>
        <w:rPr>
          <w:rFonts w:cs="Calibri"/>
          <w:sz w:val="20"/>
          <w:szCs w:val="20"/>
        </w:rPr>
      </w:pPr>
      <w:r w:rsidRPr="00E87454">
        <w:rPr>
          <w:rFonts w:cs="Calibri"/>
          <w:sz w:val="20"/>
          <w:szCs w:val="20"/>
        </w:rPr>
        <w:t>32</w:t>
      </w:r>
      <w:r w:rsidR="00E87454" w:rsidRPr="00E87454">
        <w:rPr>
          <w:rFonts w:cs="Calibri"/>
          <w:sz w:val="20"/>
          <w:szCs w:val="20"/>
        </w:rPr>
        <w:t xml:space="preserve"> </w:t>
      </w:r>
      <w:r w:rsidR="0021701F" w:rsidRPr="00E87454">
        <w:rPr>
          <w:rFonts w:cs="Calibri"/>
          <w:sz w:val="20"/>
          <w:szCs w:val="20"/>
        </w:rPr>
        <w:t xml:space="preserve">Johansen CT, Hegele RA. Genetic bases of hypertriglyceridemic phenotypes. </w:t>
      </w:r>
      <w:r w:rsidR="0021701F" w:rsidRPr="00E87454">
        <w:rPr>
          <w:rFonts w:cs="Calibri"/>
          <w:i/>
          <w:sz w:val="20"/>
          <w:szCs w:val="20"/>
        </w:rPr>
        <w:t>Curr Opin Lipidol</w:t>
      </w:r>
      <w:r w:rsidR="0021701F" w:rsidRPr="00E87454">
        <w:rPr>
          <w:rFonts w:cs="Calibri"/>
          <w:sz w:val="20"/>
          <w:szCs w:val="20"/>
        </w:rPr>
        <w:t xml:space="preserve"> 2011</w:t>
      </w:r>
      <w:r w:rsidR="0035594B" w:rsidRPr="00E87454">
        <w:rPr>
          <w:rFonts w:cs="Calibri"/>
          <w:sz w:val="20"/>
          <w:szCs w:val="20"/>
        </w:rPr>
        <w:t xml:space="preserve">; </w:t>
      </w:r>
      <w:r w:rsidR="0021701F" w:rsidRPr="00E87454">
        <w:rPr>
          <w:rFonts w:cs="Calibri"/>
          <w:b/>
          <w:sz w:val="20"/>
          <w:szCs w:val="20"/>
        </w:rPr>
        <w:t>22</w:t>
      </w:r>
      <w:r w:rsidR="0021701F" w:rsidRPr="00E87454">
        <w:rPr>
          <w:rFonts w:cs="Calibri"/>
          <w:sz w:val="20"/>
          <w:szCs w:val="20"/>
        </w:rPr>
        <w:t>:247</w:t>
      </w:r>
      <w:r w:rsidR="005A5F5E" w:rsidRPr="00E87454">
        <w:rPr>
          <w:rFonts w:cs="Calibri"/>
          <w:sz w:val="20"/>
          <w:szCs w:val="20"/>
        </w:rPr>
        <w:t>–</w:t>
      </w:r>
      <w:r w:rsidR="0021701F" w:rsidRPr="00E87454">
        <w:rPr>
          <w:rFonts w:cs="Calibri"/>
          <w:sz w:val="20"/>
          <w:szCs w:val="20"/>
        </w:rPr>
        <w:t>53.</w:t>
      </w:r>
    </w:p>
    <w:p w:rsidR="0021701F" w:rsidRPr="00E87454" w:rsidRDefault="00EC2E53" w:rsidP="00BF57A9">
      <w:pPr>
        <w:spacing w:after="0" w:line="240" w:lineRule="auto"/>
        <w:jc w:val="both"/>
        <w:rPr>
          <w:rFonts w:cs="Calibri"/>
          <w:sz w:val="20"/>
          <w:szCs w:val="20"/>
        </w:rPr>
      </w:pPr>
      <w:r w:rsidRPr="00E87454">
        <w:rPr>
          <w:rFonts w:cs="Calibri"/>
          <w:sz w:val="20"/>
          <w:szCs w:val="20"/>
        </w:rPr>
        <w:t>33</w:t>
      </w:r>
      <w:r w:rsidR="00E87454" w:rsidRPr="00E87454">
        <w:rPr>
          <w:rFonts w:cs="Calibri"/>
          <w:sz w:val="20"/>
          <w:szCs w:val="20"/>
        </w:rPr>
        <w:t xml:space="preserve"> </w:t>
      </w:r>
      <w:r w:rsidR="0021701F" w:rsidRPr="00E87454">
        <w:rPr>
          <w:rFonts w:cs="Calibri"/>
          <w:sz w:val="20"/>
          <w:szCs w:val="20"/>
        </w:rPr>
        <w:t xml:space="preserve">Johansen CT, Hegele RA. Allelic and phenotypic spectrum of plasma triglycerides. </w:t>
      </w:r>
      <w:r w:rsidR="0021701F" w:rsidRPr="00E87454">
        <w:rPr>
          <w:rFonts w:cs="Calibri"/>
          <w:i/>
          <w:sz w:val="20"/>
          <w:szCs w:val="20"/>
        </w:rPr>
        <w:t>Biochim Biophys Acta</w:t>
      </w:r>
      <w:r w:rsidR="0021701F" w:rsidRPr="00E87454">
        <w:rPr>
          <w:rFonts w:cs="Calibri"/>
          <w:sz w:val="20"/>
          <w:szCs w:val="20"/>
        </w:rPr>
        <w:t xml:space="preserve"> 2012; </w:t>
      </w:r>
      <w:r w:rsidR="0021701F" w:rsidRPr="00E87454">
        <w:rPr>
          <w:rFonts w:cs="Calibri"/>
          <w:b/>
          <w:sz w:val="20"/>
          <w:szCs w:val="20"/>
        </w:rPr>
        <w:t>1821</w:t>
      </w:r>
      <w:r w:rsidR="0021701F" w:rsidRPr="00E87454">
        <w:rPr>
          <w:rFonts w:cs="Calibri"/>
          <w:sz w:val="20"/>
          <w:szCs w:val="20"/>
        </w:rPr>
        <w:t>:833</w:t>
      </w:r>
      <w:r w:rsidR="005A5F5E" w:rsidRPr="00E87454">
        <w:rPr>
          <w:rFonts w:cs="Calibri"/>
          <w:sz w:val="20"/>
          <w:szCs w:val="20"/>
        </w:rPr>
        <w:t>–</w:t>
      </w:r>
      <w:r w:rsidR="0021701F" w:rsidRPr="00E87454">
        <w:rPr>
          <w:rFonts w:cs="Calibri"/>
          <w:sz w:val="20"/>
          <w:szCs w:val="20"/>
        </w:rPr>
        <w:t xml:space="preserve">42.  </w:t>
      </w:r>
    </w:p>
    <w:p w:rsidR="00A40B7C" w:rsidRPr="00E87454" w:rsidRDefault="00EC2E53" w:rsidP="00BF57A9">
      <w:pPr>
        <w:spacing w:after="0" w:line="240" w:lineRule="auto"/>
        <w:jc w:val="both"/>
        <w:rPr>
          <w:rFonts w:cs="Calibri"/>
          <w:sz w:val="20"/>
          <w:szCs w:val="20"/>
        </w:rPr>
      </w:pPr>
      <w:r w:rsidRPr="00E87454">
        <w:rPr>
          <w:rFonts w:cs="Calibri"/>
          <w:sz w:val="20"/>
          <w:szCs w:val="20"/>
        </w:rPr>
        <w:t>34</w:t>
      </w:r>
      <w:r w:rsidR="00E87454" w:rsidRPr="00E87454">
        <w:rPr>
          <w:rFonts w:cs="Calibri"/>
          <w:sz w:val="20"/>
          <w:szCs w:val="20"/>
        </w:rPr>
        <w:t xml:space="preserve"> </w:t>
      </w:r>
      <w:r w:rsidR="00A40B7C" w:rsidRPr="00E87454">
        <w:rPr>
          <w:rFonts w:cs="Calibri"/>
          <w:sz w:val="20"/>
          <w:szCs w:val="20"/>
        </w:rPr>
        <w:t xml:space="preserve">Talmud PJ, Shah S, Whittall R </w:t>
      </w:r>
      <w:r w:rsidR="0035594B" w:rsidRPr="00E87454">
        <w:rPr>
          <w:rFonts w:cs="Calibri"/>
          <w:sz w:val="20"/>
          <w:szCs w:val="20"/>
        </w:rPr>
        <w:t>et al</w:t>
      </w:r>
      <w:r w:rsidR="00A40B7C" w:rsidRPr="00E87454">
        <w:rPr>
          <w:rFonts w:cs="Calibri"/>
          <w:sz w:val="20"/>
          <w:szCs w:val="20"/>
        </w:rPr>
        <w:t xml:space="preserve">. Use of low-density lipoprotein cholesterol gene score to distinguish patients with polygenic and monogenic familial hypercholesterolaemia: a case-control study. </w:t>
      </w:r>
      <w:r w:rsidR="00A40B7C" w:rsidRPr="00E87454">
        <w:rPr>
          <w:rFonts w:cs="Calibri"/>
          <w:i/>
          <w:sz w:val="20"/>
          <w:szCs w:val="20"/>
        </w:rPr>
        <w:t>Lancet</w:t>
      </w:r>
      <w:r w:rsidR="00A40B7C" w:rsidRPr="00E87454">
        <w:rPr>
          <w:rFonts w:cs="Calibri"/>
          <w:sz w:val="20"/>
          <w:szCs w:val="20"/>
        </w:rPr>
        <w:t xml:space="preserve"> 2013</w:t>
      </w:r>
      <w:r w:rsidR="005C15EF" w:rsidRPr="00E87454">
        <w:rPr>
          <w:rFonts w:cs="Calibri"/>
          <w:sz w:val="20"/>
          <w:szCs w:val="20"/>
        </w:rPr>
        <w:t>;</w:t>
      </w:r>
      <w:r w:rsidR="00A40B7C" w:rsidRPr="00E87454">
        <w:rPr>
          <w:rFonts w:cs="Calibri"/>
          <w:sz w:val="20"/>
          <w:szCs w:val="20"/>
        </w:rPr>
        <w:t xml:space="preserve"> </w:t>
      </w:r>
      <w:r w:rsidR="00604EB7" w:rsidRPr="00E87454">
        <w:rPr>
          <w:rFonts w:cs="Calibri"/>
          <w:b/>
          <w:sz w:val="20"/>
          <w:szCs w:val="20"/>
        </w:rPr>
        <w:t>381</w:t>
      </w:r>
      <w:r w:rsidR="00604EB7" w:rsidRPr="00E87454">
        <w:rPr>
          <w:rFonts w:cs="Calibri"/>
          <w:sz w:val="20"/>
          <w:szCs w:val="20"/>
        </w:rPr>
        <w:t>:1293–301</w:t>
      </w:r>
      <w:r w:rsidR="00A40B7C" w:rsidRPr="00E87454">
        <w:rPr>
          <w:rFonts w:cs="Calibri"/>
          <w:sz w:val="20"/>
          <w:szCs w:val="20"/>
        </w:rPr>
        <w:t xml:space="preserve">. </w:t>
      </w:r>
    </w:p>
    <w:p w:rsidR="0021701F" w:rsidRPr="00E87454" w:rsidRDefault="0021701F" w:rsidP="00BF57A9">
      <w:pPr>
        <w:spacing w:after="0" w:line="240" w:lineRule="auto"/>
        <w:jc w:val="both"/>
        <w:rPr>
          <w:rFonts w:cs="Calibri"/>
          <w:sz w:val="20"/>
          <w:szCs w:val="20"/>
        </w:rPr>
      </w:pPr>
      <w:r w:rsidRPr="00E87454">
        <w:rPr>
          <w:rFonts w:cs="Calibri"/>
          <w:sz w:val="20"/>
          <w:szCs w:val="20"/>
        </w:rPr>
        <w:t>3</w:t>
      </w:r>
      <w:r w:rsidR="00EC2E53" w:rsidRPr="00E87454">
        <w:rPr>
          <w:rFonts w:cs="Calibri"/>
          <w:sz w:val="20"/>
          <w:szCs w:val="20"/>
        </w:rPr>
        <w:t>5</w:t>
      </w:r>
      <w:r w:rsidR="00E87454" w:rsidRPr="00E87454">
        <w:rPr>
          <w:rFonts w:cs="Calibri"/>
          <w:sz w:val="20"/>
          <w:szCs w:val="20"/>
        </w:rPr>
        <w:t xml:space="preserve"> </w:t>
      </w:r>
      <w:r w:rsidRPr="00E87454">
        <w:rPr>
          <w:rFonts w:cs="Calibri"/>
          <w:sz w:val="20"/>
          <w:szCs w:val="20"/>
        </w:rPr>
        <w:t xml:space="preserve">Beil U, Grundy SM, Crouse JR, Zech L. Triglyceride and cholesterol metabolism in primary hypertriglyceridemia. </w:t>
      </w:r>
      <w:r w:rsidRPr="00E87454">
        <w:rPr>
          <w:rFonts w:cs="Calibri"/>
          <w:i/>
          <w:sz w:val="20"/>
          <w:szCs w:val="20"/>
        </w:rPr>
        <w:t xml:space="preserve">Arteriosclerosis </w:t>
      </w:r>
      <w:r w:rsidRPr="00E87454">
        <w:rPr>
          <w:rFonts w:cs="Calibri"/>
          <w:sz w:val="20"/>
          <w:szCs w:val="20"/>
        </w:rPr>
        <w:t xml:space="preserve">1982; </w:t>
      </w:r>
      <w:r w:rsidRPr="00E87454">
        <w:rPr>
          <w:rFonts w:cs="Calibri"/>
          <w:b/>
          <w:sz w:val="20"/>
          <w:szCs w:val="20"/>
        </w:rPr>
        <w:t>2</w:t>
      </w:r>
      <w:r w:rsidRPr="00E87454">
        <w:rPr>
          <w:rFonts w:cs="Calibri"/>
          <w:sz w:val="20"/>
          <w:szCs w:val="20"/>
        </w:rPr>
        <w:t>:44</w:t>
      </w:r>
      <w:r w:rsidR="005A5F5E" w:rsidRPr="00E87454">
        <w:rPr>
          <w:rFonts w:cs="Calibri"/>
          <w:sz w:val="20"/>
          <w:szCs w:val="20"/>
        </w:rPr>
        <w:t>–</w:t>
      </w:r>
      <w:r w:rsidRPr="00E87454">
        <w:rPr>
          <w:rFonts w:cs="Calibri"/>
          <w:sz w:val="20"/>
          <w:szCs w:val="20"/>
        </w:rPr>
        <w:t>57.</w:t>
      </w:r>
    </w:p>
    <w:p w:rsidR="0021701F" w:rsidRPr="00E87454" w:rsidRDefault="0021701F" w:rsidP="00BF57A9">
      <w:pPr>
        <w:spacing w:after="0" w:line="240" w:lineRule="auto"/>
        <w:jc w:val="both"/>
        <w:rPr>
          <w:rFonts w:cs="Calibri"/>
          <w:sz w:val="20"/>
          <w:szCs w:val="20"/>
        </w:rPr>
      </w:pPr>
      <w:r w:rsidRPr="00E87454">
        <w:rPr>
          <w:rFonts w:cs="Calibri"/>
          <w:sz w:val="20"/>
          <w:szCs w:val="20"/>
        </w:rPr>
        <w:lastRenderedPageBreak/>
        <w:t>3</w:t>
      </w:r>
      <w:r w:rsidR="00EC2E53" w:rsidRPr="00E87454">
        <w:rPr>
          <w:rFonts w:cs="Calibri"/>
          <w:sz w:val="20"/>
          <w:szCs w:val="20"/>
        </w:rPr>
        <w:t>6</w:t>
      </w:r>
      <w:r w:rsidR="00E87454" w:rsidRPr="00E87454">
        <w:rPr>
          <w:rFonts w:cs="Calibri"/>
          <w:sz w:val="20"/>
          <w:szCs w:val="20"/>
        </w:rPr>
        <w:t xml:space="preserve"> </w:t>
      </w:r>
      <w:r w:rsidRPr="00E87454">
        <w:rPr>
          <w:rFonts w:cs="Calibri"/>
          <w:sz w:val="20"/>
          <w:szCs w:val="20"/>
        </w:rPr>
        <w:t xml:space="preserve">Rahalkar AR, Giffen F, Har B </w:t>
      </w:r>
      <w:r w:rsidR="0035594B" w:rsidRPr="00E87454">
        <w:rPr>
          <w:rFonts w:cs="Calibri"/>
          <w:sz w:val="20"/>
          <w:szCs w:val="20"/>
        </w:rPr>
        <w:t>et al</w:t>
      </w:r>
      <w:r w:rsidRPr="00E87454">
        <w:rPr>
          <w:rFonts w:cs="Calibri"/>
          <w:sz w:val="20"/>
          <w:szCs w:val="20"/>
        </w:rPr>
        <w:t xml:space="preserve">. Novel LPL mutations associated with lipoprotein lipase deficiency: two case reports and a literature review. </w:t>
      </w:r>
      <w:r w:rsidRPr="00E87454">
        <w:rPr>
          <w:rFonts w:cs="Calibri"/>
          <w:i/>
          <w:sz w:val="20"/>
          <w:szCs w:val="20"/>
        </w:rPr>
        <w:t>Can J Physiol Pharmacol</w:t>
      </w:r>
      <w:r w:rsidRPr="00E87454">
        <w:rPr>
          <w:rFonts w:cs="Calibri"/>
          <w:sz w:val="20"/>
          <w:szCs w:val="20"/>
        </w:rPr>
        <w:t xml:space="preserve"> 2009;</w:t>
      </w:r>
      <w:r w:rsidR="0035594B" w:rsidRPr="00E87454">
        <w:rPr>
          <w:rFonts w:cs="Calibri"/>
          <w:sz w:val="20"/>
          <w:szCs w:val="20"/>
        </w:rPr>
        <w:t xml:space="preserve"> </w:t>
      </w:r>
      <w:r w:rsidRPr="00E87454">
        <w:rPr>
          <w:rFonts w:cs="Calibri"/>
          <w:b/>
          <w:sz w:val="20"/>
          <w:szCs w:val="20"/>
        </w:rPr>
        <w:t>87</w:t>
      </w:r>
      <w:r w:rsidRPr="00E87454">
        <w:rPr>
          <w:rFonts w:cs="Calibri"/>
          <w:sz w:val="20"/>
          <w:szCs w:val="20"/>
        </w:rPr>
        <w:t>:151</w:t>
      </w:r>
      <w:r w:rsidR="005A5F5E" w:rsidRPr="00E87454">
        <w:rPr>
          <w:rFonts w:cs="Calibri"/>
          <w:sz w:val="20"/>
          <w:szCs w:val="20"/>
        </w:rPr>
        <w:t>–</w:t>
      </w:r>
      <w:r w:rsidRPr="00E87454">
        <w:rPr>
          <w:rFonts w:cs="Calibri"/>
          <w:sz w:val="20"/>
          <w:szCs w:val="20"/>
        </w:rPr>
        <w:t>60.</w:t>
      </w:r>
    </w:p>
    <w:p w:rsidR="0021701F" w:rsidRPr="00E87454" w:rsidRDefault="0021701F" w:rsidP="00BF57A9">
      <w:pPr>
        <w:spacing w:after="0" w:line="240" w:lineRule="auto"/>
        <w:jc w:val="both"/>
        <w:rPr>
          <w:rFonts w:cs="Calibri"/>
          <w:sz w:val="20"/>
          <w:szCs w:val="20"/>
        </w:rPr>
      </w:pPr>
      <w:r w:rsidRPr="00E87454">
        <w:rPr>
          <w:rFonts w:cs="Calibri"/>
          <w:sz w:val="20"/>
          <w:szCs w:val="20"/>
        </w:rPr>
        <w:t>3</w:t>
      </w:r>
      <w:r w:rsidR="00EC2E53" w:rsidRPr="00E87454">
        <w:rPr>
          <w:rFonts w:cs="Calibri"/>
          <w:sz w:val="20"/>
          <w:szCs w:val="20"/>
        </w:rPr>
        <w:t>7</w:t>
      </w:r>
      <w:r w:rsidR="00E87454" w:rsidRPr="00E87454">
        <w:rPr>
          <w:rFonts w:cs="Calibri"/>
          <w:sz w:val="20"/>
          <w:szCs w:val="20"/>
        </w:rPr>
        <w:t xml:space="preserve"> </w:t>
      </w:r>
      <w:r w:rsidRPr="00E87454">
        <w:rPr>
          <w:rFonts w:cs="Calibri"/>
          <w:sz w:val="20"/>
          <w:szCs w:val="20"/>
        </w:rPr>
        <w:t xml:space="preserve">Babirak SP, Iverius PH, Fujimoto WY, Brunzell JD. Detection and characterization of the heterozygote state for lipoprotein lipase deficiency. </w:t>
      </w:r>
      <w:r w:rsidRPr="00E87454">
        <w:rPr>
          <w:rFonts w:cs="Calibri"/>
          <w:i/>
          <w:sz w:val="20"/>
          <w:szCs w:val="20"/>
        </w:rPr>
        <w:t xml:space="preserve">Arteriosclerosis </w:t>
      </w:r>
      <w:r w:rsidRPr="00E87454">
        <w:rPr>
          <w:rFonts w:cs="Calibri"/>
          <w:sz w:val="20"/>
          <w:szCs w:val="20"/>
        </w:rPr>
        <w:t xml:space="preserve">1989; </w:t>
      </w:r>
      <w:r w:rsidRPr="00E87454">
        <w:rPr>
          <w:rFonts w:cs="Calibri"/>
          <w:b/>
          <w:sz w:val="20"/>
          <w:szCs w:val="20"/>
        </w:rPr>
        <w:t>9</w:t>
      </w:r>
      <w:r w:rsidRPr="00E87454">
        <w:rPr>
          <w:rFonts w:cs="Calibri"/>
          <w:sz w:val="20"/>
          <w:szCs w:val="20"/>
        </w:rPr>
        <w:t>:326</w:t>
      </w:r>
      <w:r w:rsidR="005A5F5E" w:rsidRPr="00E87454">
        <w:rPr>
          <w:rFonts w:cs="Calibri"/>
          <w:sz w:val="20"/>
          <w:szCs w:val="20"/>
        </w:rPr>
        <w:t>–</w:t>
      </w:r>
      <w:r w:rsidRPr="00E87454">
        <w:rPr>
          <w:rFonts w:cs="Calibri"/>
          <w:sz w:val="20"/>
          <w:szCs w:val="20"/>
        </w:rPr>
        <w:t>34.</w:t>
      </w:r>
    </w:p>
    <w:p w:rsidR="0021701F" w:rsidRPr="00E87454" w:rsidRDefault="0021701F" w:rsidP="00BF57A9">
      <w:pPr>
        <w:spacing w:after="0" w:line="240" w:lineRule="auto"/>
        <w:jc w:val="both"/>
        <w:rPr>
          <w:rFonts w:cs="Calibri"/>
          <w:sz w:val="20"/>
          <w:szCs w:val="20"/>
        </w:rPr>
      </w:pPr>
      <w:r w:rsidRPr="00E87454">
        <w:rPr>
          <w:rFonts w:cs="Calibri"/>
          <w:sz w:val="20"/>
          <w:szCs w:val="20"/>
        </w:rPr>
        <w:t>3</w:t>
      </w:r>
      <w:r w:rsidR="00EC2E53" w:rsidRPr="00E87454">
        <w:rPr>
          <w:rFonts w:cs="Calibri"/>
          <w:sz w:val="20"/>
          <w:szCs w:val="20"/>
        </w:rPr>
        <w:t>8</w:t>
      </w:r>
      <w:r w:rsidR="00E87454" w:rsidRPr="00E87454">
        <w:rPr>
          <w:rFonts w:cs="Calibri"/>
          <w:sz w:val="20"/>
          <w:szCs w:val="20"/>
        </w:rPr>
        <w:t xml:space="preserve"> </w:t>
      </w:r>
      <w:r w:rsidRPr="00E87454">
        <w:rPr>
          <w:rFonts w:cs="Calibri"/>
          <w:sz w:val="20"/>
          <w:szCs w:val="20"/>
        </w:rPr>
        <w:t xml:space="preserve">Hegele RA, Breckenridge WC, Cox DW, Maguire GF, Little JA, Connelly PW. Interaction between variant apolipoproteins C-II and E that affects plasma lipoprotein concentrations. </w:t>
      </w:r>
      <w:r w:rsidRPr="00E87454">
        <w:rPr>
          <w:rFonts w:cs="Calibri"/>
          <w:i/>
          <w:sz w:val="20"/>
          <w:szCs w:val="20"/>
        </w:rPr>
        <w:t>Arterioscler Thromb</w:t>
      </w:r>
      <w:r w:rsidRPr="00E87454">
        <w:rPr>
          <w:rFonts w:cs="Calibri"/>
          <w:sz w:val="20"/>
          <w:szCs w:val="20"/>
        </w:rPr>
        <w:t xml:space="preserve"> 1991; </w:t>
      </w:r>
      <w:r w:rsidRPr="00E87454">
        <w:rPr>
          <w:rFonts w:cs="Calibri"/>
          <w:b/>
          <w:sz w:val="20"/>
          <w:szCs w:val="20"/>
        </w:rPr>
        <w:t>11</w:t>
      </w:r>
      <w:r w:rsidRPr="00E87454">
        <w:rPr>
          <w:rFonts w:cs="Calibri"/>
          <w:sz w:val="20"/>
          <w:szCs w:val="20"/>
        </w:rPr>
        <w:t>:1303</w:t>
      </w:r>
      <w:r w:rsidR="005A5F5E" w:rsidRPr="00E87454">
        <w:rPr>
          <w:rFonts w:cs="Calibri"/>
          <w:sz w:val="20"/>
          <w:szCs w:val="20"/>
        </w:rPr>
        <w:t>–</w:t>
      </w:r>
      <w:r w:rsidRPr="00E87454">
        <w:rPr>
          <w:rFonts w:cs="Calibri"/>
          <w:sz w:val="20"/>
          <w:szCs w:val="20"/>
        </w:rPr>
        <w:t>9.</w:t>
      </w:r>
    </w:p>
    <w:p w:rsidR="0021701F" w:rsidRPr="00F762EB" w:rsidRDefault="0021701F" w:rsidP="00BF57A9">
      <w:pPr>
        <w:spacing w:after="0" w:line="240" w:lineRule="auto"/>
        <w:jc w:val="both"/>
        <w:rPr>
          <w:rFonts w:cs="Calibri"/>
          <w:sz w:val="20"/>
          <w:szCs w:val="20"/>
          <w:lang w:val="sv-SE"/>
        </w:rPr>
      </w:pPr>
      <w:r w:rsidRPr="00E87454">
        <w:rPr>
          <w:rFonts w:cs="Calibri"/>
          <w:sz w:val="20"/>
          <w:szCs w:val="20"/>
        </w:rPr>
        <w:t>3</w:t>
      </w:r>
      <w:r w:rsidR="00EC2E53" w:rsidRPr="00E87454">
        <w:rPr>
          <w:rFonts w:cs="Calibri"/>
          <w:sz w:val="20"/>
          <w:szCs w:val="20"/>
        </w:rPr>
        <w:t>9</w:t>
      </w:r>
      <w:r w:rsidR="00E87454" w:rsidRPr="00E87454">
        <w:rPr>
          <w:rFonts w:cs="Calibri"/>
          <w:sz w:val="20"/>
          <w:szCs w:val="20"/>
        </w:rPr>
        <w:t xml:space="preserve"> </w:t>
      </w:r>
      <w:r w:rsidRPr="00E87454">
        <w:rPr>
          <w:rFonts w:cs="Calibri"/>
          <w:sz w:val="20"/>
          <w:szCs w:val="20"/>
        </w:rPr>
        <w:t xml:space="preserve">Nordestgaard BG, Abildgaard S, Wittrup HH, Steffensen R, Jensen G, Tybjaerg-Hansen A. Heterozygous lipoprotein lipase deficiency: frequency in the general population, effect on plasma lipid levels, and risk of ischemic heart disease. </w:t>
      </w:r>
      <w:r w:rsidRPr="00F762EB">
        <w:rPr>
          <w:rFonts w:cs="Calibri"/>
          <w:i/>
          <w:sz w:val="20"/>
          <w:szCs w:val="20"/>
          <w:lang w:val="sv-SE"/>
        </w:rPr>
        <w:t>Circulation</w:t>
      </w:r>
      <w:r w:rsidRPr="00F762EB">
        <w:rPr>
          <w:rFonts w:cs="Calibri"/>
          <w:sz w:val="20"/>
          <w:szCs w:val="20"/>
          <w:lang w:val="sv-SE"/>
        </w:rPr>
        <w:t xml:space="preserve"> 1997; </w:t>
      </w:r>
      <w:r w:rsidRPr="00F762EB">
        <w:rPr>
          <w:rFonts w:cs="Calibri"/>
          <w:b/>
          <w:sz w:val="20"/>
          <w:szCs w:val="20"/>
          <w:lang w:val="sv-SE"/>
        </w:rPr>
        <w:t>96</w:t>
      </w:r>
      <w:r w:rsidRPr="00F762EB">
        <w:rPr>
          <w:rFonts w:cs="Calibri"/>
          <w:sz w:val="20"/>
          <w:szCs w:val="20"/>
          <w:lang w:val="sv-SE"/>
        </w:rPr>
        <w:t>:1737</w:t>
      </w:r>
      <w:r w:rsidR="005A5F5E" w:rsidRPr="00F762EB">
        <w:rPr>
          <w:rFonts w:cs="Calibri"/>
          <w:sz w:val="20"/>
          <w:szCs w:val="20"/>
          <w:lang w:val="sv-SE"/>
        </w:rPr>
        <w:t>–</w:t>
      </w:r>
      <w:r w:rsidRPr="00F762EB">
        <w:rPr>
          <w:rFonts w:cs="Calibri"/>
          <w:sz w:val="20"/>
          <w:szCs w:val="20"/>
          <w:lang w:val="sv-SE"/>
        </w:rPr>
        <w:t>44.</w:t>
      </w:r>
    </w:p>
    <w:p w:rsidR="0021701F" w:rsidRPr="00E87454" w:rsidRDefault="00EC2E53" w:rsidP="00BF57A9">
      <w:pPr>
        <w:spacing w:after="0" w:line="240" w:lineRule="auto"/>
        <w:jc w:val="both"/>
        <w:rPr>
          <w:rFonts w:cs="Calibri"/>
          <w:sz w:val="20"/>
          <w:szCs w:val="20"/>
        </w:rPr>
      </w:pPr>
      <w:r w:rsidRPr="00F762EB">
        <w:rPr>
          <w:rFonts w:cs="Calibri"/>
          <w:sz w:val="20"/>
          <w:szCs w:val="20"/>
          <w:lang w:val="sv-SE"/>
        </w:rPr>
        <w:t>40</w:t>
      </w:r>
      <w:r w:rsidR="00E87454" w:rsidRPr="00F762EB">
        <w:rPr>
          <w:rFonts w:cs="Calibri"/>
          <w:sz w:val="20"/>
          <w:szCs w:val="20"/>
          <w:lang w:val="sv-SE"/>
        </w:rPr>
        <w:t xml:space="preserve"> </w:t>
      </w:r>
      <w:r w:rsidR="0021701F" w:rsidRPr="00F762EB">
        <w:rPr>
          <w:rFonts w:cs="Calibri"/>
          <w:sz w:val="20"/>
          <w:szCs w:val="20"/>
          <w:lang w:val="sv-SE"/>
        </w:rPr>
        <w:t xml:space="preserve">Priore Oliva C, Pisciotta L, Li Volti G </w:t>
      </w:r>
      <w:r w:rsidR="0035594B" w:rsidRPr="00F762EB">
        <w:rPr>
          <w:rFonts w:cs="Calibri"/>
          <w:sz w:val="20"/>
          <w:szCs w:val="20"/>
          <w:lang w:val="sv-SE"/>
        </w:rPr>
        <w:t>et al</w:t>
      </w:r>
      <w:r w:rsidR="0021701F" w:rsidRPr="00F762EB">
        <w:rPr>
          <w:rFonts w:cs="Calibri"/>
          <w:sz w:val="20"/>
          <w:szCs w:val="20"/>
          <w:lang w:val="sv-SE"/>
        </w:rPr>
        <w:t xml:space="preserve">. </w:t>
      </w:r>
      <w:r w:rsidR="0021701F" w:rsidRPr="00E87454">
        <w:rPr>
          <w:rFonts w:cs="Calibri"/>
          <w:sz w:val="20"/>
          <w:szCs w:val="20"/>
        </w:rPr>
        <w:t xml:space="preserve">Inherited apolipoprotein A-V deficiency in severe hypertriglyceridemia. </w:t>
      </w:r>
      <w:r w:rsidR="0021701F" w:rsidRPr="00E87454">
        <w:rPr>
          <w:rFonts w:cs="Calibri"/>
          <w:i/>
          <w:sz w:val="20"/>
          <w:szCs w:val="20"/>
        </w:rPr>
        <w:t>Arterioscler Thromb Vasc Biol</w:t>
      </w:r>
      <w:r w:rsidR="0021701F" w:rsidRPr="00E87454">
        <w:rPr>
          <w:rFonts w:cs="Calibri"/>
          <w:sz w:val="20"/>
          <w:szCs w:val="20"/>
        </w:rPr>
        <w:t xml:space="preserve"> 2005; </w:t>
      </w:r>
      <w:r w:rsidR="0021701F" w:rsidRPr="00E87454">
        <w:rPr>
          <w:rFonts w:cs="Calibri"/>
          <w:b/>
          <w:sz w:val="20"/>
          <w:szCs w:val="20"/>
        </w:rPr>
        <w:t>25</w:t>
      </w:r>
      <w:r w:rsidR="0021701F" w:rsidRPr="00E87454">
        <w:rPr>
          <w:rFonts w:cs="Calibri"/>
          <w:sz w:val="20"/>
          <w:szCs w:val="20"/>
        </w:rPr>
        <w:t>:411</w:t>
      </w:r>
      <w:r w:rsidR="005A5F5E" w:rsidRPr="00E87454">
        <w:rPr>
          <w:rFonts w:cs="Calibri"/>
          <w:sz w:val="20"/>
          <w:szCs w:val="20"/>
        </w:rPr>
        <w:t>–</w:t>
      </w:r>
      <w:r w:rsidR="0021701F" w:rsidRPr="00E87454">
        <w:rPr>
          <w:rFonts w:cs="Calibri"/>
          <w:sz w:val="20"/>
          <w:szCs w:val="20"/>
        </w:rPr>
        <w:t xml:space="preserve">7. </w:t>
      </w:r>
    </w:p>
    <w:p w:rsidR="0021701F" w:rsidRPr="00E87454" w:rsidRDefault="00EC2E53" w:rsidP="00BF57A9">
      <w:pPr>
        <w:spacing w:after="0" w:line="240" w:lineRule="auto"/>
        <w:jc w:val="both"/>
        <w:rPr>
          <w:rFonts w:cs="Calibri"/>
          <w:sz w:val="20"/>
          <w:szCs w:val="20"/>
          <w:lang w:val="da-DK"/>
        </w:rPr>
      </w:pPr>
      <w:r w:rsidRPr="00E87454">
        <w:rPr>
          <w:rFonts w:cs="Calibri"/>
          <w:sz w:val="20"/>
          <w:szCs w:val="20"/>
        </w:rPr>
        <w:t>41</w:t>
      </w:r>
      <w:r w:rsidR="00E87454" w:rsidRPr="00E87454">
        <w:rPr>
          <w:rFonts w:cs="Calibri"/>
          <w:sz w:val="20"/>
          <w:szCs w:val="20"/>
        </w:rPr>
        <w:t xml:space="preserve"> </w:t>
      </w:r>
      <w:r w:rsidR="0021701F" w:rsidRPr="00E87454">
        <w:rPr>
          <w:rFonts w:cs="Calibri"/>
          <w:sz w:val="20"/>
          <w:szCs w:val="20"/>
        </w:rPr>
        <w:t xml:space="preserve">Johansen CT, Wang J, Lanktree MB et al. Excess of rare variants in genes identified by genome-wide association study of hypertriglyceridemia. </w:t>
      </w:r>
      <w:r w:rsidR="0021701F" w:rsidRPr="00E87454">
        <w:rPr>
          <w:rFonts w:cs="Calibri"/>
          <w:i/>
          <w:sz w:val="20"/>
          <w:szCs w:val="20"/>
          <w:lang w:val="da-DK"/>
        </w:rPr>
        <w:t>Nat Genet</w:t>
      </w:r>
      <w:r w:rsidR="0021701F" w:rsidRPr="00E87454">
        <w:rPr>
          <w:rFonts w:cs="Calibri"/>
          <w:sz w:val="20"/>
          <w:szCs w:val="20"/>
          <w:lang w:val="da-DK"/>
        </w:rPr>
        <w:t xml:space="preserve"> 2010</w:t>
      </w:r>
      <w:r w:rsidR="0035594B" w:rsidRPr="00E87454">
        <w:rPr>
          <w:rFonts w:cs="Calibri"/>
          <w:sz w:val="20"/>
          <w:szCs w:val="20"/>
          <w:lang w:val="da-DK"/>
        </w:rPr>
        <w:t xml:space="preserve">; </w:t>
      </w:r>
      <w:r w:rsidR="0021701F" w:rsidRPr="00E87454">
        <w:rPr>
          <w:rFonts w:cs="Calibri"/>
          <w:b/>
          <w:sz w:val="20"/>
          <w:szCs w:val="20"/>
          <w:lang w:val="da-DK"/>
        </w:rPr>
        <w:t>42</w:t>
      </w:r>
      <w:r w:rsidR="0021701F" w:rsidRPr="00E87454">
        <w:rPr>
          <w:rFonts w:cs="Calibri"/>
          <w:sz w:val="20"/>
          <w:szCs w:val="20"/>
          <w:lang w:val="da-DK"/>
        </w:rPr>
        <w:t>:684</w:t>
      </w:r>
      <w:r w:rsidR="005A5F5E" w:rsidRPr="00E87454">
        <w:rPr>
          <w:rFonts w:cs="Calibri"/>
          <w:sz w:val="20"/>
          <w:szCs w:val="20"/>
          <w:lang w:val="da-DK"/>
        </w:rPr>
        <w:t>–</w:t>
      </w:r>
      <w:r w:rsidR="0021701F" w:rsidRPr="00E87454">
        <w:rPr>
          <w:rFonts w:cs="Calibri"/>
          <w:sz w:val="20"/>
          <w:szCs w:val="20"/>
          <w:lang w:val="da-DK"/>
        </w:rPr>
        <w:t>7.</w:t>
      </w:r>
    </w:p>
    <w:p w:rsidR="0021701F" w:rsidRPr="00F762EB" w:rsidRDefault="00EC2E53" w:rsidP="00BF57A9">
      <w:pPr>
        <w:spacing w:after="0" w:line="240" w:lineRule="auto"/>
        <w:jc w:val="both"/>
        <w:rPr>
          <w:rFonts w:cs="Calibri"/>
          <w:sz w:val="20"/>
          <w:szCs w:val="20"/>
          <w:lang w:val="sv-SE"/>
        </w:rPr>
      </w:pPr>
      <w:r w:rsidRPr="00E87454">
        <w:rPr>
          <w:rFonts w:cs="Calibri"/>
          <w:sz w:val="20"/>
          <w:szCs w:val="20"/>
          <w:lang w:val="da-DK"/>
        </w:rPr>
        <w:t>42</w:t>
      </w:r>
      <w:r w:rsidR="00E87454" w:rsidRPr="00E87454">
        <w:rPr>
          <w:rFonts w:cs="Calibri"/>
          <w:sz w:val="20"/>
          <w:szCs w:val="20"/>
          <w:lang w:val="da-DK"/>
        </w:rPr>
        <w:t xml:space="preserve"> </w:t>
      </w:r>
      <w:r w:rsidR="0021701F" w:rsidRPr="00E87454">
        <w:rPr>
          <w:rFonts w:cs="Calibri"/>
          <w:sz w:val="20"/>
          <w:szCs w:val="20"/>
          <w:lang w:val="da-DK"/>
        </w:rPr>
        <w:t xml:space="preserve">Johansen CT, Wang J, McIntyre AD et al. </w:t>
      </w:r>
      <w:r w:rsidR="0021701F" w:rsidRPr="00E87454">
        <w:rPr>
          <w:rFonts w:cs="Calibri"/>
          <w:sz w:val="20"/>
          <w:szCs w:val="20"/>
        </w:rPr>
        <w:t>Excess of rare variants in non-</w:t>
      </w:r>
      <w:r w:rsidR="00604EB7" w:rsidRPr="00E87454">
        <w:rPr>
          <w:rFonts w:cs="Calibri"/>
          <w:sz w:val="20"/>
          <w:szCs w:val="20"/>
        </w:rPr>
        <w:t>genome-wide-association study</w:t>
      </w:r>
      <w:r w:rsidR="0021701F" w:rsidRPr="00E87454">
        <w:rPr>
          <w:rFonts w:cs="Calibri"/>
          <w:sz w:val="20"/>
          <w:szCs w:val="20"/>
        </w:rPr>
        <w:t xml:space="preserve"> candidate genes in patients with hypertriglyceridemia. </w:t>
      </w:r>
      <w:r w:rsidR="0021701F" w:rsidRPr="00F762EB">
        <w:rPr>
          <w:rFonts w:cs="Calibri"/>
          <w:i/>
          <w:sz w:val="20"/>
          <w:szCs w:val="20"/>
          <w:lang w:val="sv-SE"/>
        </w:rPr>
        <w:t>Circ Cardiovasc Genet</w:t>
      </w:r>
      <w:r w:rsidR="0021701F" w:rsidRPr="00F762EB">
        <w:rPr>
          <w:rFonts w:cs="Calibri"/>
          <w:sz w:val="20"/>
          <w:szCs w:val="20"/>
          <w:lang w:val="sv-SE"/>
        </w:rPr>
        <w:t xml:space="preserve"> 2012; </w:t>
      </w:r>
      <w:r w:rsidR="0021701F" w:rsidRPr="00F762EB">
        <w:rPr>
          <w:rFonts w:cs="Calibri"/>
          <w:b/>
          <w:sz w:val="20"/>
          <w:szCs w:val="20"/>
          <w:lang w:val="sv-SE"/>
        </w:rPr>
        <w:t>5</w:t>
      </w:r>
      <w:r w:rsidR="0021701F" w:rsidRPr="00F762EB">
        <w:rPr>
          <w:rFonts w:cs="Calibri"/>
          <w:sz w:val="20"/>
          <w:szCs w:val="20"/>
          <w:lang w:val="sv-SE"/>
        </w:rPr>
        <w:t>:66</w:t>
      </w:r>
      <w:r w:rsidR="005A5F5E" w:rsidRPr="00F762EB">
        <w:rPr>
          <w:rFonts w:cs="Calibri"/>
          <w:sz w:val="20"/>
          <w:szCs w:val="20"/>
          <w:lang w:val="sv-SE"/>
        </w:rPr>
        <w:t>–</w:t>
      </w:r>
      <w:r w:rsidR="0021701F" w:rsidRPr="00F762EB">
        <w:rPr>
          <w:rFonts w:cs="Calibri"/>
          <w:sz w:val="20"/>
          <w:szCs w:val="20"/>
          <w:lang w:val="sv-SE"/>
        </w:rPr>
        <w:t>72.</w:t>
      </w:r>
    </w:p>
    <w:p w:rsidR="0021701F" w:rsidRPr="00F762EB" w:rsidRDefault="00EC2E53" w:rsidP="00BF57A9">
      <w:pPr>
        <w:spacing w:after="0" w:line="240" w:lineRule="auto"/>
        <w:jc w:val="both"/>
        <w:rPr>
          <w:rFonts w:cs="Calibri"/>
          <w:sz w:val="20"/>
          <w:szCs w:val="20"/>
          <w:lang w:val="sv-SE"/>
        </w:rPr>
      </w:pPr>
      <w:r w:rsidRPr="00F762EB">
        <w:rPr>
          <w:rFonts w:cs="Calibri"/>
          <w:sz w:val="20"/>
          <w:szCs w:val="20"/>
          <w:lang w:val="sv-SE"/>
        </w:rPr>
        <w:t>43</w:t>
      </w:r>
      <w:r w:rsidR="00E87454" w:rsidRPr="00F762EB">
        <w:rPr>
          <w:rFonts w:cs="Calibri"/>
          <w:sz w:val="20"/>
          <w:szCs w:val="20"/>
          <w:lang w:val="sv-SE"/>
        </w:rPr>
        <w:t xml:space="preserve"> </w:t>
      </w:r>
      <w:r w:rsidR="0021701F" w:rsidRPr="00F762EB">
        <w:rPr>
          <w:rFonts w:cs="Calibri"/>
          <w:sz w:val="20"/>
          <w:szCs w:val="20"/>
          <w:lang w:val="sv-SE"/>
        </w:rPr>
        <w:t xml:space="preserve">Lee JH, Giannikopoulos P, Duncan SA </w:t>
      </w:r>
      <w:r w:rsidR="0035594B" w:rsidRPr="00F762EB">
        <w:rPr>
          <w:rFonts w:cs="Calibri"/>
          <w:sz w:val="20"/>
          <w:szCs w:val="20"/>
          <w:lang w:val="sv-SE"/>
        </w:rPr>
        <w:t>et al</w:t>
      </w:r>
      <w:r w:rsidR="0021701F" w:rsidRPr="00F762EB">
        <w:rPr>
          <w:rFonts w:cs="Calibri"/>
          <w:sz w:val="20"/>
          <w:szCs w:val="20"/>
          <w:lang w:val="sv-SE"/>
        </w:rPr>
        <w:t xml:space="preserve">. </w:t>
      </w:r>
      <w:r w:rsidR="0021701F" w:rsidRPr="00E87454">
        <w:rPr>
          <w:rFonts w:cs="Calibri"/>
          <w:sz w:val="20"/>
          <w:szCs w:val="20"/>
        </w:rPr>
        <w:t xml:space="preserve">The transcription factor cyclic AMP-responsive element-binding protein H regulates triglyceride metabolism. </w:t>
      </w:r>
      <w:r w:rsidR="0021701F" w:rsidRPr="00F762EB">
        <w:rPr>
          <w:rFonts w:cs="Calibri"/>
          <w:i/>
          <w:sz w:val="20"/>
          <w:szCs w:val="20"/>
          <w:lang w:val="sv-SE"/>
        </w:rPr>
        <w:t>Nat Med</w:t>
      </w:r>
      <w:r w:rsidR="0021701F" w:rsidRPr="00F762EB">
        <w:rPr>
          <w:rFonts w:cs="Calibri"/>
          <w:sz w:val="20"/>
          <w:szCs w:val="20"/>
          <w:lang w:val="sv-SE"/>
        </w:rPr>
        <w:t xml:space="preserve"> 2011; </w:t>
      </w:r>
      <w:r w:rsidR="0021701F" w:rsidRPr="00F762EB">
        <w:rPr>
          <w:rFonts w:cs="Calibri"/>
          <w:b/>
          <w:sz w:val="20"/>
          <w:szCs w:val="20"/>
          <w:lang w:val="sv-SE"/>
        </w:rPr>
        <w:t>17</w:t>
      </w:r>
      <w:r w:rsidR="0021701F" w:rsidRPr="00F762EB">
        <w:rPr>
          <w:rFonts w:cs="Calibri"/>
          <w:sz w:val="20"/>
          <w:szCs w:val="20"/>
          <w:lang w:val="sv-SE"/>
        </w:rPr>
        <w:t>:812</w:t>
      </w:r>
      <w:r w:rsidR="005A5F5E" w:rsidRPr="00F762EB">
        <w:rPr>
          <w:rFonts w:cs="Calibri"/>
          <w:sz w:val="20"/>
          <w:szCs w:val="20"/>
          <w:lang w:val="sv-SE"/>
        </w:rPr>
        <w:t>–</w:t>
      </w:r>
      <w:r w:rsidR="0021701F" w:rsidRPr="00F762EB">
        <w:rPr>
          <w:rFonts w:cs="Calibri"/>
          <w:sz w:val="20"/>
          <w:szCs w:val="20"/>
          <w:lang w:val="sv-SE"/>
        </w:rPr>
        <w:t>5</w:t>
      </w:r>
      <w:r w:rsidR="005C15EF" w:rsidRPr="00F762EB">
        <w:rPr>
          <w:rFonts w:cs="Calibri"/>
          <w:sz w:val="20"/>
          <w:szCs w:val="20"/>
          <w:lang w:val="sv-SE"/>
        </w:rPr>
        <w:t>.</w:t>
      </w:r>
    </w:p>
    <w:p w:rsidR="0021701F" w:rsidRPr="00E87454" w:rsidRDefault="0021701F" w:rsidP="00BF57A9">
      <w:pPr>
        <w:spacing w:after="0" w:line="240" w:lineRule="auto"/>
        <w:jc w:val="both"/>
        <w:rPr>
          <w:rFonts w:cs="Calibri"/>
          <w:sz w:val="20"/>
          <w:szCs w:val="20"/>
        </w:rPr>
      </w:pPr>
      <w:r w:rsidRPr="00F762EB">
        <w:rPr>
          <w:rFonts w:cs="Calibri"/>
          <w:sz w:val="20"/>
          <w:szCs w:val="20"/>
          <w:lang w:val="sv-SE"/>
        </w:rPr>
        <w:t>4</w:t>
      </w:r>
      <w:r w:rsidR="00EC2E53" w:rsidRPr="00F762EB">
        <w:rPr>
          <w:rFonts w:cs="Calibri"/>
          <w:sz w:val="20"/>
          <w:szCs w:val="20"/>
          <w:lang w:val="sv-SE"/>
        </w:rPr>
        <w:t>4</w:t>
      </w:r>
      <w:r w:rsidR="00E87454" w:rsidRPr="00F762EB">
        <w:rPr>
          <w:rFonts w:cs="Calibri"/>
          <w:sz w:val="20"/>
          <w:szCs w:val="20"/>
          <w:lang w:val="sv-SE"/>
        </w:rPr>
        <w:t xml:space="preserve"> </w:t>
      </w:r>
      <w:r w:rsidRPr="00F762EB">
        <w:rPr>
          <w:rFonts w:cs="Calibri"/>
          <w:sz w:val="20"/>
          <w:szCs w:val="20"/>
          <w:lang w:val="sv-SE"/>
        </w:rPr>
        <w:t xml:space="preserve">Teslovich TM, Musunuru K, Smith AV et al. </w:t>
      </w:r>
      <w:r w:rsidRPr="00E87454">
        <w:rPr>
          <w:rFonts w:cs="Calibri"/>
          <w:sz w:val="20"/>
          <w:szCs w:val="20"/>
        </w:rPr>
        <w:t xml:space="preserve">Biological, clinical and population relevance of 95 loci for blood lipids. </w:t>
      </w:r>
      <w:r w:rsidRPr="00E87454">
        <w:rPr>
          <w:rFonts w:cs="Calibri"/>
          <w:i/>
          <w:sz w:val="20"/>
          <w:szCs w:val="20"/>
        </w:rPr>
        <w:t>Nature</w:t>
      </w:r>
      <w:r w:rsidRPr="00E87454">
        <w:rPr>
          <w:rFonts w:cs="Calibri"/>
          <w:sz w:val="20"/>
          <w:szCs w:val="20"/>
        </w:rPr>
        <w:t xml:space="preserve"> 2010</w:t>
      </w:r>
      <w:r w:rsidR="0035594B" w:rsidRPr="00E87454">
        <w:rPr>
          <w:rFonts w:cs="Calibri"/>
          <w:sz w:val="20"/>
          <w:szCs w:val="20"/>
        </w:rPr>
        <w:t xml:space="preserve">; </w:t>
      </w:r>
      <w:r w:rsidRPr="00E87454">
        <w:rPr>
          <w:rFonts w:cs="Calibri"/>
          <w:b/>
          <w:sz w:val="20"/>
          <w:szCs w:val="20"/>
        </w:rPr>
        <w:t>466</w:t>
      </w:r>
      <w:r w:rsidRPr="00E87454">
        <w:rPr>
          <w:rFonts w:cs="Calibri"/>
          <w:sz w:val="20"/>
          <w:szCs w:val="20"/>
        </w:rPr>
        <w:t>:707</w:t>
      </w:r>
      <w:r w:rsidR="005A5F5E" w:rsidRPr="00E87454">
        <w:rPr>
          <w:rFonts w:cs="Calibri"/>
          <w:sz w:val="20"/>
          <w:szCs w:val="20"/>
        </w:rPr>
        <w:t>–</w:t>
      </w:r>
      <w:r w:rsidRPr="00E87454">
        <w:rPr>
          <w:rFonts w:cs="Calibri"/>
          <w:sz w:val="20"/>
          <w:szCs w:val="20"/>
        </w:rPr>
        <w:t>13.</w:t>
      </w:r>
    </w:p>
    <w:p w:rsidR="0099696F" w:rsidRPr="00E87454" w:rsidRDefault="0099696F" w:rsidP="00BF57A9">
      <w:pPr>
        <w:spacing w:after="0" w:line="240" w:lineRule="auto"/>
        <w:jc w:val="both"/>
        <w:rPr>
          <w:rFonts w:cs="Calibri"/>
          <w:sz w:val="20"/>
          <w:szCs w:val="20"/>
        </w:rPr>
      </w:pPr>
      <w:r w:rsidRPr="00E87454">
        <w:rPr>
          <w:rFonts w:cs="Calibri"/>
          <w:sz w:val="20"/>
          <w:szCs w:val="20"/>
        </w:rPr>
        <w:t>4</w:t>
      </w:r>
      <w:r w:rsidR="00EC2E53" w:rsidRPr="00E87454">
        <w:rPr>
          <w:rFonts w:cs="Calibri"/>
          <w:sz w:val="20"/>
          <w:szCs w:val="20"/>
        </w:rPr>
        <w:t>5</w:t>
      </w:r>
      <w:r w:rsidR="00E87454" w:rsidRPr="00E87454">
        <w:rPr>
          <w:rFonts w:cs="Calibri"/>
          <w:sz w:val="20"/>
          <w:szCs w:val="20"/>
        </w:rPr>
        <w:t xml:space="preserve"> </w:t>
      </w:r>
      <w:r w:rsidRPr="00E87454">
        <w:rPr>
          <w:rFonts w:cs="Calibri"/>
          <w:sz w:val="20"/>
          <w:szCs w:val="20"/>
        </w:rPr>
        <w:t xml:space="preserve">Anderson TJ, Grégoire J, Hegele RA </w:t>
      </w:r>
      <w:r w:rsidR="0035594B" w:rsidRPr="00E87454">
        <w:rPr>
          <w:rFonts w:cs="Calibri"/>
          <w:sz w:val="20"/>
          <w:szCs w:val="20"/>
        </w:rPr>
        <w:t>et al</w:t>
      </w:r>
      <w:r w:rsidRPr="00E87454">
        <w:rPr>
          <w:rFonts w:cs="Calibri"/>
          <w:sz w:val="20"/>
          <w:szCs w:val="20"/>
        </w:rPr>
        <w:t xml:space="preserve">. 2012 update of the Canadian cardiovascular society guidelines for the diagnosis and treatment of dyslipidemia for the prevention of cardiovascular disease in the adult. </w:t>
      </w:r>
      <w:r w:rsidRPr="00E87454">
        <w:rPr>
          <w:rFonts w:cs="Calibri"/>
          <w:i/>
          <w:sz w:val="20"/>
          <w:szCs w:val="20"/>
        </w:rPr>
        <w:t>Can J Cardiol</w:t>
      </w:r>
      <w:r w:rsidRPr="00E87454">
        <w:rPr>
          <w:rFonts w:cs="Calibri"/>
          <w:sz w:val="20"/>
          <w:szCs w:val="20"/>
        </w:rPr>
        <w:t xml:space="preserve"> 2013; </w:t>
      </w:r>
      <w:r w:rsidRPr="00E87454">
        <w:rPr>
          <w:rFonts w:cs="Calibri"/>
          <w:b/>
          <w:sz w:val="20"/>
          <w:szCs w:val="20"/>
        </w:rPr>
        <w:t>29</w:t>
      </w:r>
      <w:r w:rsidRPr="00E87454">
        <w:rPr>
          <w:rFonts w:cs="Calibri"/>
          <w:sz w:val="20"/>
          <w:szCs w:val="20"/>
        </w:rPr>
        <w:t>:151</w:t>
      </w:r>
      <w:r w:rsidR="005A5F5E" w:rsidRPr="00E87454">
        <w:rPr>
          <w:rFonts w:cs="Calibri"/>
          <w:sz w:val="20"/>
          <w:szCs w:val="20"/>
        </w:rPr>
        <w:t>–</w:t>
      </w:r>
      <w:r w:rsidRPr="00E87454">
        <w:rPr>
          <w:rFonts w:cs="Calibri"/>
          <w:sz w:val="20"/>
          <w:szCs w:val="20"/>
        </w:rPr>
        <w:t>67.</w:t>
      </w:r>
    </w:p>
    <w:p w:rsidR="0021701F" w:rsidRPr="00E87454" w:rsidRDefault="0034025A" w:rsidP="00BF57A9">
      <w:pPr>
        <w:spacing w:after="0" w:line="240" w:lineRule="auto"/>
        <w:jc w:val="both"/>
        <w:rPr>
          <w:rFonts w:cs="Calibri"/>
          <w:sz w:val="20"/>
          <w:szCs w:val="20"/>
        </w:rPr>
      </w:pPr>
      <w:r w:rsidRPr="00E87454">
        <w:rPr>
          <w:rFonts w:cs="Calibri"/>
          <w:sz w:val="20"/>
          <w:szCs w:val="20"/>
        </w:rPr>
        <w:t>4</w:t>
      </w:r>
      <w:r w:rsidR="00EC2E53" w:rsidRPr="00E87454">
        <w:rPr>
          <w:rFonts w:cs="Calibri"/>
          <w:sz w:val="20"/>
          <w:szCs w:val="20"/>
        </w:rPr>
        <w:t>6</w:t>
      </w:r>
      <w:r w:rsidR="00E87454" w:rsidRPr="00E87454">
        <w:rPr>
          <w:rFonts w:cs="Calibri"/>
          <w:sz w:val="20"/>
          <w:szCs w:val="20"/>
        </w:rPr>
        <w:t xml:space="preserve"> </w:t>
      </w:r>
      <w:r w:rsidR="0021701F" w:rsidRPr="00E87454">
        <w:rPr>
          <w:rFonts w:cs="Calibri"/>
          <w:sz w:val="20"/>
          <w:szCs w:val="20"/>
        </w:rPr>
        <w:t xml:space="preserve">Sniderman AD, Williams K, Contois JH et al. A meta-analysis of low-density lipoprotein cholesterol, non-high-density lipoprotein cholesterol, and apolipoprotein B as markers of cardiovascular risk. </w:t>
      </w:r>
      <w:r w:rsidR="0021701F" w:rsidRPr="00E87454">
        <w:rPr>
          <w:rFonts w:cs="Calibri"/>
          <w:i/>
          <w:sz w:val="20"/>
          <w:szCs w:val="20"/>
        </w:rPr>
        <w:t>Circ Cardiovasc Qual Outcomes</w:t>
      </w:r>
      <w:r w:rsidR="0021701F" w:rsidRPr="00E87454">
        <w:rPr>
          <w:rFonts w:cs="Calibri"/>
          <w:sz w:val="20"/>
          <w:szCs w:val="20"/>
        </w:rPr>
        <w:t xml:space="preserve"> 2011; </w:t>
      </w:r>
      <w:r w:rsidR="0021701F" w:rsidRPr="00E87454">
        <w:rPr>
          <w:rFonts w:cs="Calibri"/>
          <w:b/>
          <w:sz w:val="20"/>
          <w:szCs w:val="20"/>
        </w:rPr>
        <w:t>4</w:t>
      </w:r>
      <w:r w:rsidR="0021701F" w:rsidRPr="00E87454">
        <w:rPr>
          <w:rFonts w:cs="Calibri"/>
          <w:sz w:val="20"/>
          <w:szCs w:val="20"/>
        </w:rPr>
        <w:t>:337</w:t>
      </w:r>
      <w:r w:rsidR="005A5F5E" w:rsidRPr="00E87454">
        <w:rPr>
          <w:rFonts w:cs="Calibri"/>
          <w:sz w:val="20"/>
          <w:szCs w:val="20"/>
        </w:rPr>
        <w:t>–</w:t>
      </w:r>
      <w:r w:rsidR="0021701F" w:rsidRPr="00E87454">
        <w:rPr>
          <w:rFonts w:cs="Calibri"/>
          <w:sz w:val="20"/>
          <w:szCs w:val="20"/>
        </w:rPr>
        <w:t>345.</w:t>
      </w:r>
    </w:p>
    <w:p w:rsidR="0021701F" w:rsidRPr="00E87454" w:rsidRDefault="0099696F" w:rsidP="00BF57A9">
      <w:pPr>
        <w:spacing w:after="0" w:line="240" w:lineRule="auto"/>
        <w:jc w:val="both"/>
        <w:rPr>
          <w:rFonts w:cs="Calibri"/>
          <w:sz w:val="20"/>
          <w:szCs w:val="20"/>
        </w:rPr>
      </w:pPr>
      <w:r w:rsidRPr="00E87454">
        <w:rPr>
          <w:rFonts w:cs="Calibri"/>
          <w:sz w:val="20"/>
          <w:szCs w:val="20"/>
        </w:rPr>
        <w:t>4</w:t>
      </w:r>
      <w:r w:rsidR="00EC2E53" w:rsidRPr="00E87454">
        <w:rPr>
          <w:rFonts w:cs="Calibri"/>
          <w:sz w:val="20"/>
          <w:szCs w:val="20"/>
        </w:rPr>
        <w:t>7</w:t>
      </w:r>
      <w:r w:rsidR="00E87454" w:rsidRPr="00E87454">
        <w:rPr>
          <w:rFonts w:cs="Calibri"/>
          <w:sz w:val="20"/>
          <w:szCs w:val="20"/>
        </w:rPr>
        <w:t xml:space="preserve"> </w:t>
      </w:r>
      <w:r w:rsidR="0021701F" w:rsidRPr="00E87454">
        <w:rPr>
          <w:rFonts w:cs="Calibri"/>
          <w:sz w:val="20"/>
          <w:szCs w:val="20"/>
        </w:rPr>
        <w:t xml:space="preserve">Baigent C, Keech A, Kearney PM </w:t>
      </w:r>
      <w:r w:rsidR="0035594B" w:rsidRPr="00E87454">
        <w:rPr>
          <w:rFonts w:cs="Calibri"/>
          <w:sz w:val="20"/>
          <w:szCs w:val="20"/>
        </w:rPr>
        <w:t>et al</w:t>
      </w:r>
      <w:r w:rsidR="0021701F" w:rsidRPr="00E87454">
        <w:rPr>
          <w:rFonts w:cs="Calibri"/>
          <w:sz w:val="20"/>
          <w:szCs w:val="20"/>
        </w:rPr>
        <w:t xml:space="preserve">; Cholesterol Treatment Trialists' (CTT) Collaborators. Efficacy and safety of cholesterol-lowering treatment: prospective meta-analysis of data from 90,056 </w:t>
      </w:r>
      <w:r w:rsidR="0021701F" w:rsidRPr="00E87454">
        <w:rPr>
          <w:rFonts w:cs="Calibri"/>
          <w:sz w:val="20"/>
          <w:szCs w:val="20"/>
        </w:rPr>
        <w:lastRenderedPageBreak/>
        <w:t xml:space="preserve">participants in 14 randomised trials of statins. </w:t>
      </w:r>
      <w:r w:rsidR="0021701F" w:rsidRPr="00E87454">
        <w:rPr>
          <w:rFonts w:cs="Calibri"/>
          <w:i/>
          <w:sz w:val="20"/>
          <w:szCs w:val="20"/>
        </w:rPr>
        <w:t>Lancet</w:t>
      </w:r>
      <w:r w:rsidR="0021701F" w:rsidRPr="00E87454">
        <w:rPr>
          <w:rFonts w:cs="Calibri"/>
          <w:sz w:val="20"/>
          <w:szCs w:val="20"/>
        </w:rPr>
        <w:t xml:space="preserve"> 2005;</w:t>
      </w:r>
      <w:r w:rsidRPr="00E87454">
        <w:rPr>
          <w:rFonts w:cs="Calibri"/>
          <w:sz w:val="20"/>
          <w:szCs w:val="20"/>
        </w:rPr>
        <w:t xml:space="preserve"> </w:t>
      </w:r>
      <w:r w:rsidR="0021701F" w:rsidRPr="00E87454">
        <w:rPr>
          <w:rFonts w:cs="Calibri"/>
          <w:b/>
          <w:sz w:val="20"/>
          <w:szCs w:val="20"/>
        </w:rPr>
        <w:t>366</w:t>
      </w:r>
      <w:r w:rsidR="0021701F" w:rsidRPr="00E87454">
        <w:rPr>
          <w:rFonts w:cs="Calibri"/>
          <w:sz w:val="20"/>
          <w:szCs w:val="20"/>
        </w:rPr>
        <w:t>:1267</w:t>
      </w:r>
      <w:r w:rsidR="005A5F5E" w:rsidRPr="00E87454">
        <w:rPr>
          <w:rFonts w:cs="Calibri"/>
          <w:sz w:val="20"/>
          <w:szCs w:val="20"/>
        </w:rPr>
        <w:t>–</w:t>
      </w:r>
      <w:r w:rsidR="0021701F" w:rsidRPr="00E87454">
        <w:rPr>
          <w:rFonts w:cs="Calibri"/>
          <w:sz w:val="20"/>
          <w:szCs w:val="20"/>
        </w:rPr>
        <w:t>78.</w:t>
      </w:r>
    </w:p>
    <w:p w:rsidR="0021701F" w:rsidRPr="00E87454" w:rsidRDefault="0021701F" w:rsidP="00BF57A9">
      <w:pPr>
        <w:spacing w:after="0" w:line="240" w:lineRule="auto"/>
        <w:jc w:val="both"/>
        <w:rPr>
          <w:rFonts w:cs="Calibri"/>
          <w:sz w:val="20"/>
          <w:szCs w:val="20"/>
        </w:rPr>
      </w:pPr>
      <w:r w:rsidRPr="00E87454">
        <w:rPr>
          <w:rFonts w:cs="Calibri"/>
          <w:sz w:val="20"/>
          <w:szCs w:val="20"/>
        </w:rPr>
        <w:t>4</w:t>
      </w:r>
      <w:r w:rsidR="00EC2E53" w:rsidRPr="00E87454">
        <w:rPr>
          <w:rFonts w:cs="Calibri"/>
          <w:sz w:val="20"/>
          <w:szCs w:val="20"/>
        </w:rPr>
        <w:t>8</w:t>
      </w:r>
      <w:r w:rsidR="00E87454" w:rsidRPr="00E87454">
        <w:rPr>
          <w:rFonts w:cs="Calibri"/>
          <w:sz w:val="20"/>
          <w:szCs w:val="20"/>
        </w:rPr>
        <w:t xml:space="preserve"> </w:t>
      </w:r>
      <w:r w:rsidRPr="00E87454">
        <w:rPr>
          <w:rFonts w:cs="Calibri"/>
          <w:sz w:val="20"/>
          <w:szCs w:val="20"/>
        </w:rPr>
        <w:t xml:space="preserve">Boekholdt SM, Arsenault BJ, Mora S </w:t>
      </w:r>
      <w:r w:rsidR="0035594B" w:rsidRPr="00E87454">
        <w:rPr>
          <w:rFonts w:cs="Calibri"/>
          <w:sz w:val="20"/>
          <w:szCs w:val="20"/>
        </w:rPr>
        <w:t>et al</w:t>
      </w:r>
      <w:r w:rsidRPr="00E87454">
        <w:rPr>
          <w:rFonts w:cs="Calibri"/>
          <w:sz w:val="20"/>
          <w:szCs w:val="20"/>
        </w:rPr>
        <w:t xml:space="preserve">. Association of LDL cholesterol, non-HDL cholesterol, and apolipoprotein B levels with risk of cardiovascular events among patients treated with statins: a meta-analysis. </w:t>
      </w:r>
      <w:r w:rsidRPr="00E87454">
        <w:rPr>
          <w:rFonts w:cs="Calibri"/>
          <w:i/>
          <w:sz w:val="20"/>
          <w:szCs w:val="20"/>
        </w:rPr>
        <w:t>JAMA</w:t>
      </w:r>
      <w:r w:rsidRPr="00E87454">
        <w:rPr>
          <w:rFonts w:cs="Calibri"/>
          <w:sz w:val="20"/>
          <w:szCs w:val="20"/>
        </w:rPr>
        <w:t xml:space="preserve"> 2012;</w:t>
      </w:r>
      <w:r w:rsidR="0035594B" w:rsidRPr="00E87454">
        <w:rPr>
          <w:rFonts w:cs="Calibri"/>
          <w:sz w:val="20"/>
          <w:szCs w:val="20"/>
        </w:rPr>
        <w:t xml:space="preserve"> </w:t>
      </w:r>
      <w:r w:rsidRPr="00E87454">
        <w:rPr>
          <w:rFonts w:cs="Calibri"/>
          <w:b/>
          <w:sz w:val="20"/>
          <w:szCs w:val="20"/>
        </w:rPr>
        <w:t>307</w:t>
      </w:r>
      <w:r w:rsidRPr="00E87454">
        <w:rPr>
          <w:rFonts w:cs="Calibri"/>
          <w:sz w:val="20"/>
          <w:szCs w:val="20"/>
        </w:rPr>
        <w:t>:1302</w:t>
      </w:r>
      <w:r w:rsidR="005A5F5E" w:rsidRPr="00E87454">
        <w:rPr>
          <w:rFonts w:cs="Calibri"/>
          <w:sz w:val="20"/>
          <w:szCs w:val="20"/>
        </w:rPr>
        <w:t>–</w:t>
      </w:r>
      <w:r w:rsidRPr="00E87454">
        <w:rPr>
          <w:rFonts w:cs="Calibri"/>
          <w:sz w:val="20"/>
          <w:szCs w:val="20"/>
        </w:rPr>
        <w:t>9.</w:t>
      </w:r>
    </w:p>
    <w:p w:rsidR="0021701F" w:rsidRPr="00E87454" w:rsidRDefault="0074665D" w:rsidP="00BF57A9">
      <w:pPr>
        <w:spacing w:after="0" w:line="240" w:lineRule="auto"/>
        <w:jc w:val="both"/>
        <w:rPr>
          <w:rFonts w:cs="Calibri"/>
          <w:sz w:val="20"/>
          <w:szCs w:val="20"/>
        </w:rPr>
      </w:pPr>
      <w:r w:rsidRPr="00E87454">
        <w:rPr>
          <w:rFonts w:cs="Calibri"/>
          <w:sz w:val="20"/>
          <w:szCs w:val="20"/>
        </w:rPr>
        <w:t>4</w:t>
      </w:r>
      <w:r w:rsidR="00EC2E53" w:rsidRPr="00E87454">
        <w:rPr>
          <w:rFonts w:cs="Calibri"/>
          <w:sz w:val="20"/>
          <w:szCs w:val="20"/>
        </w:rPr>
        <w:t>9</w:t>
      </w:r>
      <w:r w:rsidR="00E87454" w:rsidRPr="00E87454">
        <w:rPr>
          <w:rFonts w:cs="Calibri"/>
          <w:sz w:val="20"/>
          <w:szCs w:val="20"/>
        </w:rPr>
        <w:t xml:space="preserve"> </w:t>
      </w:r>
      <w:r w:rsidR="0021701F" w:rsidRPr="00E87454">
        <w:rPr>
          <w:rFonts w:cs="Calibri"/>
          <w:sz w:val="20"/>
          <w:szCs w:val="20"/>
        </w:rPr>
        <w:t xml:space="preserve">Huijgen R, Abbink EJ, Bruckert E </w:t>
      </w:r>
      <w:r w:rsidR="0035594B" w:rsidRPr="00E87454">
        <w:rPr>
          <w:rFonts w:cs="Calibri"/>
          <w:sz w:val="20"/>
          <w:szCs w:val="20"/>
        </w:rPr>
        <w:t>et al</w:t>
      </w:r>
      <w:r w:rsidR="0021701F" w:rsidRPr="00E87454">
        <w:rPr>
          <w:rFonts w:cs="Calibri"/>
          <w:sz w:val="20"/>
          <w:szCs w:val="20"/>
        </w:rPr>
        <w:t xml:space="preserve">; Triple Study Group. Colesevelam added to combination therapy with a statin and ezetimibe in patients with familial hypercholesterolemia: a 12-week, multicenter, randomized, double-blind, controlled trial. </w:t>
      </w:r>
      <w:r w:rsidR="0021701F" w:rsidRPr="00E87454">
        <w:rPr>
          <w:rFonts w:cs="Calibri"/>
          <w:i/>
          <w:sz w:val="20"/>
          <w:szCs w:val="20"/>
        </w:rPr>
        <w:t>Clin Ther</w:t>
      </w:r>
      <w:r w:rsidR="0021701F" w:rsidRPr="00E87454">
        <w:rPr>
          <w:rFonts w:cs="Calibri"/>
          <w:sz w:val="20"/>
          <w:szCs w:val="20"/>
        </w:rPr>
        <w:t xml:space="preserve"> 2010;</w:t>
      </w:r>
      <w:r w:rsidR="0035594B" w:rsidRPr="00E87454">
        <w:rPr>
          <w:rFonts w:cs="Calibri"/>
          <w:sz w:val="20"/>
          <w:szCs w:val="20"/>
        </w:rPr>
        <w:t xml:space="preserve"> </w:t>
      </w:r>
      <w:r w:rsidR="0021701F" w:rsidRPr="00E87454">
        <w:rPr>
          <w:rFonts w:cs="Calibri"/>
          <w:b/>
          <w:sz w:val="20"/>
          <w:szCs w:val="20"/>
        </w:rPr>
        <w:t>32</w:t>
      </w:r>
      <w:r w:rsidR="0021701F" w:rsidRPr="00E87454">
        <w:rPr>
          <w:rFonts w:cs="Calibri"/>
          <w:sz w:val="20"/>
          <w:szCs w:val="20"/>
        </w:rPr>
        <w:t>:615</w:t>
      </w:r>
      <w:r w:rsidR="005A5F5E" w:rsidRPr="00E87454">
        <w:rPr>
          <w:rFonts w:cs="Calibri"/>
          <w:sz w:val="20"/>
          <w:szCs w:val="20"/>
        </w:rPr>
        <w:t>–</w:t>
      </w:r>
      <w:r w:rsidR="0021701F" w:rsidRPr="00E87454">
        <w:rPr>
          <w:rFonts w:cs="Calibri"/>
          <w:sz w:val="20"/>
          <w:szCs w:val="20"/>
        </w:rPr>
        <w:t>25.</w:t>
      </w:r>
    </w:p>
    <w:p w:rsidR="0021701F" w:rsidRPr="00E87454" w:rsidRDefault="0074665D" w:rsidP="00BF57A9">
      <w:pPr>
        <w:spacing w:after="0" w:line="240" w:lineRule="auto"/>
        <w:jc w:val="both"/>
        <w:rPr>
          <w:rFonts w:cs="Calibri"/>
          <w:sz w:val="20"/>
          <w:szCs w:val="20"/>
        </w:rPr>
      </w:pPr>
      <w:r w:rsidRPr="00E87454">
        <w:rPr>
          <w:rFonts w:cs="Calibri"/>
          <w:sz w:val="20"/>
          <w:szCs w:val="20"/>
          <w:lang w:val="nl-NL"/>
        </w:rPr>
        <w:t>50</w:t>
      </w:r>
      <w:r w:rsidR="00E87454" w:rsidRPr="00E87454">
        <w:rPr>
          <w:rFonts w:cs="Calibri"/>
          <w:sz w:val="20"/>
          <w:szCs w:val="20"/>
          <w:lang w:val="nl-NL"/>
        </w:rPr>
        <w:t xml:space="preserve"> </w:t>
      </w:r>
      <w:r w:rsidR="0021701F" w:rsidRPr="00E87454">
        <w:rPr>
          <w:rFonts w:cs="Calibri"/>
          <w:sz w:val="20"/>
          <w:szCs w:val="20"/>
          <w:lang w:val="nl-NL"/>
        </w:rPr>
        <w:t xml:space="preserve">Asselbergs FW, Guo Y, van Iperen EP et al. Large-scale gene-centric meta-analysis across 32 studies identifies multiple lipid loci. </w:t>
      </w:r>
      <w:r w:rsidR="0021701F" w:rsidRPr="00E87454">
        <w:rPr>
          <w:rFonts w:cs="Calibri"/>
          <w:i/>
          <w:sz w:val="20"/>
          <w:szCs w:val="20"/>
        </w:rPr>
        <w:t>Am J Hum Genet</w:t>
      </w:r>
      <w:r w:rsidR="0021701F" w:rsidRPr="00E87454">
        <w:rPr>
          <w:rFonts w:cs="Calibri"/>
          <w:sz w:val="20"/>
          <w:szCs w:val="20"/>
        </w:rPr>
        <w:t xml:space="preserve"> 2012; </w:t>
      </w:r>
      <w:r w:rsidR="0021701F" w:rsidRPr="00E87454">
        <w:rPr>
          <w:rFonts w:cs="Calibri"/>
          <w:b/>
          <w:sz w:val="20"/>
          <w:szCs w:val="20"/>
        </w:rPr>
        <w:t>91</w:t>
      </w:r>
      <w:r w:rsidR="0021701F" w:rsidRPr="00E87454">
        <w:rPr>
          <w:rFonts w:cs="Calibri"/>
          <w:sz w:val="20"/>
          <w:szCs w:val="20"/>
        </w:rPr>
        <w:t>:823</w:t>
      </w:r>
      <w:r w:rsidR="005A5F5E" w:rsidRPr="00E87454">
        <w:rPr>
          <w:rFonts w:cs="Calibri"/>
          <w:sz w:val="20"/>
          <w:szCs w:val="20"/>
        </w:rPr>
        <w:t>–</w:t>
      </w:r>
      <w:r w:rsidR="0021701F" w:rsidRPr="00E87454">
        <w:rPr>
          <w:rFonts w:cs="Calibri"/>
          <w:sz w:val="20"/>
          <w:szCs w:val="20"/>
        </w:rPr>
        <w:t>38</w:t>
      </w:r>
      <w:r w:rsidR="0035594B" w:rsidRPr="00E87454">
        <w:rPr>
          <w:rFonts w:cs="Calibri"/>
          <w:sz w:val="20"/>
          <w:szCs w:val="20"/>
        </w:rPr>
        <w:t>.</w:t>
      </w:r>
    </w:p>
    <w:p w:rsidR="009C2D0F" w:rsidRPr="00E87454" w:rsidRDefault="0099696F" w:rsidP="00BF57A9">
      <w:pPr>
        <w:spacing w:after="0" w:line="240" w:lineRule="auto"/>
        <w:jc w:val="both"/>
        <w:rPr>
          <w:rFonts w:cs="Calibri"/>
          <w:sz w:val="20"/>
          <w:szCs w:val="20"/>
          <w:lang w:val="nl-NL"/>
        </w:rPr>
      </w:pPr>
      <w:r w:rsidRPr="00E87454">
        <w:rPr>
          <w:rFonts w:cs="Calibri"/>
          <w:sz w:val="20"/>
          <w:szCs w:val="20"/>
        </w:rPr>
        <w:t>5</w:t>
      </w:r>
      <w:r w:rsidR="0074665D" w:rsidRPr="00E87454">
        <w:rPr>
          <w:rFonts w:cs="Calibri"/>
          <w:sz w:val="20"/>
          <w:szCs w:val="20"/>
        </w:rPr>
        <w:t>1</w:t>
      </w:r>
      <w:r w:rsidR="00E87454" w:rsidRPr="00E87454">
        <w:rPr>
          <w:rFonts w:cs="Calibri"/>
          <w:sz w:val="20"/>
          <w:szCs w:val="20"/>
        </w:rPr>
        <w:t xml:space="preserve"> </w:t>
      </w:r>
      <w:r w:rsidR="00604EB7" w:rsidRPr="00E87454">
        <w:rPr>
          <w:rFonts w:cs="Calibri"/>
          <w:sz w:val="20"/>
          <w:szCs w:val="20"/>
        </w:rPr>
        <w:t>Chen R, Mias GI, Li-Pook-Than J</w:t>
      </w:r>
      <w:r w:rsidR="0021701F" w:rsidRPr="00E87454">
        <w:rPr>
          <w:rFonts w:cs="Calibri"/>
          <w:sz w:val="20"/>
          <w:szCs w:val="20"/>
        </w:rPr>
        <w:t xml:space="preserve"> et al. Personal omics profiling reveals dynamic molecular and medical phenotypes. </w:t>
      </w:r>
      <w:r w:rsidR="0021701F" w:rsidRPr="00E87454">
        <w:rPr>
          <w:rFonts w:cs="Calibri"/>
          <w:i/>
          <w:sz w:val="20"/>
          <w:szCs w:val="20"/>
          <w:lang w:val="nl-NL"/>
        </w:rPr>
        <w:t>Cell</w:t>
      </w:r>
      <w:r w:rsidR="0021701F" w:rsidRPr="00E87454">
        <w:rPr>
          <w:rFonts w:cs="Calibri"/>
          <w:sz w:val="20"/>
          <w:szCs w:val="20"/>
          <w:lang w:val="nl-NL"/>
        </w:rPr>
        <w:t xml:space="preserve"> 2012;</w:t>
      </w:r>
      <w:r w:rsidR="0035594B" w:rsidRPr="00E87454">
        <w:rPr>
          <w:rFonts w:cs="Calibri"/>
          <w:sz w:val="20"/>
          <w:szCs w:val="20"/>
          <w:lang w:val="nl-NL"/>
        </w:rPr>
        <w:t xml:space="preserve"> </w:t>
      </w:r>
      <w:r w:rsidR="0021701F" w:rsidRPr="00E87454">
        <w:rPr>
          <w:rFonts w:cs="Calibri"/>
          <w:b/>
          <w:sz w:val="20"/>
          <w:szCs w:val="20"/>
          <w:lang w:val="nl-NL"/>
        </w:rPr>
        <w:t>148</w:t>
      </w:r>
      <w:r w:rsidR="0021701F" w:rsidRPr="00E87454">
        <w:rPr>
          <w:rFonts w:cs="Calibri"/>
          <w:sz w:val="20"/>
          <w:szCs w:val="20"/>
          <w:lang w:val="nl-NL"/>
        </w:rPr>
        <w:t>:1293</w:t>
      </w:r>
      <w:r w:rsidR="005A5F5E" w:rsidRPr="00E87454">
        <w:rPr>
          <w:rFonts w:cs="Calibri"/>
          <w:sz w:val="20"/>
          <w:szCs w:val="20"/>
          <w:lang w:val="nl-NL"/>
        </w:rPr>
        <w:t>–</w:t>
      </w:r>
      <w:r w:rsidR="0021701F" w:rsidRPr="00E87454">
        <w:rPr>
          <w:rFonts w:cs="Calibri"/>
          <w:sz w:val="20"/>
          <w:szCs w:val="20"/>
          <w:lang w:val="nl-NL"/>
        </w:rPr>
        <w:t>307</w:t>
      </w:r>
      <w:r w:rsidR="005C15EF" w:rsidRPr="00E87454">
        <w:rPr>
          <w:rFonts w:cs="Calibri"/>
          <w:sz w:val="20"/>
          <w:szCs w:val="20"/>
          <w:lang w:val="nl-NL"/>
        </w:rPr>
        <w:t>.</w:t>
      </w:r>
    </w:p>
    <w:p w:rsidR="0021701F" w:rsidRPr="00E87454" w:rsidRDefault="0074665D" w:rsidP="00BF57A9">
      <w:pPr>
        <w:spacing w:after="0" w:line="240" w:lineRule="auto"/>
        <w:jc w:val="both"/>
        <w:rPr>
          <w:rFonts w:cs="Calibri"/>
          <w:sz w:val="20"/>
          <w:szCs w:val="20"/>
          <w:lang w:val="fr-FR"/>
        </w:rPr>
      </w:pPr>
      <w:r w:rsidRPr="00E87454">
        <w:rPr>
          <w:rFonts w:cs="Calibri"/>
          <w:sz w:val="20"/>
          <w:szCs w:val="20"/>
          <w:lang w:val="nl-NL"/>
        </w:rPr>
        <w:t>52</w:t>
      </w:r>
      <w:r w:rsidR="00E87454" w:rsidRPr="00E87454">
        <w:rPr>
          <w:rFonts w:cs="Calibri"/>
          <w:sz w:val="20"/>
          <w:szCs w:val="20"/>
          <w:lang w:val="nl-NL"/>
        </w:rPr>
        <w:t xml:space="preserve"> </w:t>
      </w:r>
      <w:r w:rsidR="0021701F" w:rsidRPr="00E87454">
        <w:rPr>
          <w:rFonts w:cs="Calibri"/>
          <w:sz w:val="20"/>
          <w:szCs w:val="20"/>
          <w:lang w:val="nl-NL"/>
        </w:rPr>
        <w:t xml:space="preserve">Hawrylycz MJ, Lein ES, Guillozet-Bongaarts AL et al. </w:t>
      </w:r>
      <w:r w:rsidR="0021701F" w:rsidRPr="00E87454">
        <w:rPr>
          <w:rFonts w:cs="Calibri"/>
          <w:sz w:val="20"/>
          <w:szCs w:val="20"/>
        </w:rPr>
        <w:t xml:space="preserve">An anatomically comprehensive atlas of the adult human brain transcriptome. </w:t>
      </w:r>
      <w:r w:rsidR="0021701F" w:rsidRPr="00E87454">
        <w:rPr>
          <w:rFonts w:cs="Calibri"/>
          <w:i/>
          <w:sz w:val="20"/>
          <w:szCs w:val="20"/>
          <w:lang w:val="fr-FR"/>
        </w:rPr>
        <w:t>Nature</w:t>
      </w:r>
      <w:r w:rsidR="0021701F" w:rsidRPr="00E87454">
        <w:rPr>
          <w:rFonts w:cs="Calibri"/>
          <w:sz w:val="20"/>
          <w:szCs w:val="20"/>
          <w:lang w:val="fr-FR"/>
        </w:rPr>
        <w:t xml:space="preserve"> 2012;</w:t>
      </w:r>
      <w:r w:rsidR="006879DD" w:rsidRPr="00E87454">
        <w:rPr>
          <w:rFonts w:cs="Calibri"/>
          <w:sz w:val="20"/>
          <w:szCs w:val="20"/>
          <w:lang w:val="fr-FR"/>
        </w:rPr>
        <w:t xml:space="preserve"> </w:t>
      </w:r>
      <w:r w:rsidR="0021701F" w:rsidRPr="00E87454">
        <w:rPr>
          <w:rFonts w:cs="Calibri"/>
          <w:b/>
          <w:sz w:val="20"/>
          <w:szCs w:val="20"/>
          <w:lang w:val="fr-FR"/>
        </w:rPr>
        <w:t>489</w:t>
      </w:r>
      <w:r w:rsidR="0021701F" w:rsidRPr="00E87454">
        <w:rPr>
          <w:rFonts w:cs="Calibri"/>
          <w:sz w:val="20"/>
          <w:szCs w:val="20"/>
          <w:lang w:val="fr-FR"/>
        </w:rPr>
        <w:t>:391</w:t>
      </w:r>
      <w:r w:rsidR="005A5F5E" w:rsidRPr="00E87454">
        <w:rPr>
          <w:rFonts w:cs="Calibri"/>
          <w:sz w:val="20"/>
          <w:szCs w:val="20"/>
          <w:lang w:val="fr-FR"/>
        </w:rPr>
        <w:t>–</w:t>
      </w:r>
      <w:r w:rsidR="0021701F" w:rsidRPr="00E87454">
        <w:rPr>
          <w:rFonts w:cs="Calibri"/>
          <w:sz w:val="20"/>
          <w:szCs w:val="20"/>
          <w:lang w:val="fr-FR"/>
        </w:rPr>
        <w:t xml:space="preserve">9. </w:t>
      </w:r>
    </w:p>
    <w:p w:rsidR="0021701F" w:rsidRPr="00E87454" w:rsidRDefault="0074665D" w:rsidP="00BF57A9">
      <w:pPr>
        <w:spacing w:after="0" w:line="240" w:lineRule="auto"/>
        <w:rPr>
          <w:rFonts w:cs="Calibri"/>
          <w:sz w:val="20"/>
          <w:szCs w:val="20"/>
        </w:rPr>
      </w:pPr>
      <w:r w:rsidRPr="00E87454">
        <w:rPr>
          <w:rFonts w:cs="Calibri"/>
          <w:sz w:val="20"/>
          <w:szCs w:val="20"/>
          <w:lang w:val="fr-FR"/>
        </w:rPr>
        <w:t>53</w:t>
      </w:r>
      <w:r w:rsidR="00E87454" w:rsidRPr="00E87454">
        <w:rPr>
          <w:rFonts w:cs="Calibri"/>
          <w:sz w:val="20"/>
          <w:szCs w:val="20"/>
          <w:lang w:val="fr-FR"/>
        </w:rPr>
        <w:t xml:space="preserve"> </w:t>
      </w:r>
      <w:r w:rsidR="0021701F" w:rsidRPr="00E87454">
        <w:rPr>
          <w:rFonts w:cs="Calibri"/>
          <w:sz w:val="20"/>
          <w:szCs w:val="20"/>
          <w:lang w:val="fr-FR"/>
        </w:rPr>
        <w:t xml:space="preserve">Gaudet D, de Wal J, Tremblay K et al. </w:t>
      </w:r>
      <w:r w:rsidR="0021701F" w:rsidRPr="00E87454">
        <w:rPr>
          <w:rFonts w:cs="Calibri"/>
          <w:sz w:val="20"/>
          <w:szCs w:val="20"/>
        </w:rPr>
        <w:t xml:space="preserve">Review of the clinical development of alipogene tiparvovec gene therapy for lipoprotein lipase deficiency. </w:t>
      </w:r>
      <w:r w:rsidR="0021701F" w:rsidRPr="00E87454">
        <w:rPr>
          <w:rFonts w:cs="Calibri"/>
          <w:i/>
          <w:sz w:val="20"/>
          <w:szCs w:val="20"/>
        </w:rPr>
        <w:t>Atheroscler Suppl</w:t>
      </w:r>
      <w:r w:rsidR="0021701F" w:rsidRPr="00E87454">
        <w:rPr>
          <w:rFonts w:cs="Calibri"/>
          <w:sz w:val="20"/>
          <w:szCs w:val="20"/>
        </w:rPr>
        <w:t xml:space="preserve"> 2010; </w:t>
      </w:r>
      <w:r w:rsidR="0021701F" w:rsidRPr="00E87454">
        <w:rPr>
          <w:rFonts w:cs="Calibri"/>
          <w:b/>
          <w:sz w:val="20"/>
          <w:szCs w:val="20"/>
        </w:rPr>
        <w:t>11</w:t>
      </w:r>
      <w:r w:rsidR="006879DD" w:rsidRPr="00E87454">
        <w:rPr>
          <w:rFonts w:cs="Calibri"/>
          <w:sz w:val="20"/>
          <w:szCs w:val="20"/>
        </w:rPr>
        <w:t>:</w:t>
      </w:r>
      <w:r w:rsidR="0021701F" w:rsidRPr="00E87454">
        <w:rPr>
          <w:rFonts w:cs="Calibri"/>
          <w:sz w:val="20"/>
          <w:szCs w:val="20"/>
        </w:rPr>
        <w:t>55</w:t>
      </w:r>
      <w:r w:rsidR="005A5F5E" w:rsidRPr="00E87454">
        <w:rPr>
          <w:rFonts w:cs="Calibri"/>
          <w:sz w:val="20"/>
          <w:szCs w:val="20"/>
        </w:rPr>
        <w:t>–</w:t>
      </w:r>
      <w:r w:rsidR="0021701F" w:rsidRPr="00E87454">
        <w:rPr>
          <w:rFonts w:cs="Calibri"/>
          <w:sz w:val="20"/>
          <w:szCs w:val="20"/>
        </w:rPr>
        <w:t>60.</w:t>
      </w:r>
    </w:p>
    <w:p w:rsidR="0021701F" w:rsidRPr="00E87454" w:rsidRDefault="0074665D" w:rsidP="00BF57A9">
      <w:pPr>
        <w:spacing w:after="0" w:line="240" w:lineRule="auto"/>
        <w:rPr>
          <w:rFonts w:cs="Calibri"/>
          <w:sz w:val="20"/>
          <w:szCs w:val="20"/>
        </w:rPr>
      </w:pPr>
      <w:r w:rsidRPr="00E87454">
        <w:rPr>
          <w:rFonts w:cs="Calibri"/>
          <w:sz w:val="20"/>
          <w:szCs w:val="20"/>
        </w:rPr>
        <w:t>54</w:t>
      </w:r>
      <w:r w:rsidR="00E87454" w:rsidRPr="00E87454">
        <w:rPr>
          <w:rFonts w:cs="Calibri"/>
          <w:sz w:val="20"/>
          <w:szCs w:val="20"/>
        </w:rPr>
        <w:t xml:space="preserve"> </w:t>
      </w:r>
      <w:r w:rsidR="0021701F" w:rsidRPr="00E87454">
        <w:rPr>
          <w:rFonts w:cs="Calibri"/>
          <w:sz w:val="20"/>
          <w:szCs w:val="20"/>
        </w:rPr>
        <w:t xml:space="preserve">Stroes ES, Nierman MC, Meulenberg JJ et al. Intramuscular administration of AAV1-lipoprotein lipase S447X lowers triglycerides in lipoprotein lipase-deficient patients. </w:t>
      </w:r>
      <w:r w:rsidR="0021701F" w:rsidRPr="00E87454">
        <w:rPr>
          <w:rFonts w:cs="Calibri"/>
          <w:i/>
          <w:sz w:val="20"/>
          <w:szCs w:val="20"/>
        </w:rPr>
        <w:t>Arterioscler Thromb Vasc Biol</w:t>
      </w:r>
      <w:r w:rsidR="0021701F" w:rsidRPr="00E87454">
        <w:rPr>
          <w:rFonts w:cs="Calibri"/>
          <w:sz w:val="20"/>
          <w:szCs w:val="20"/>
        </w:rPr>
        <w:t xml:space="preserve"> 2008; </w:t>
      </w:r>
      <w:r w:rsidR="0021701F" w:rsidRPr="00E87454">
        <w:rPr>
          <w:rFonts w:cs="Calibri"/>
          <w:b/>
          <w:sz w:val="20"/>
          <w:szCs w:val="20"/>
        </w:rPr>
        <w:t>28</w:t>
      </w:r>
      <w:r w:rsidR="0021701F" w:rsidRPr="00E87454">
        <w:rPr>
          <w:rFonts w:cs="Calibri"/>
          <w:sz w:val="20"/>
          <w:szCs w:val="20"/>
        </w:rPr>
        <w:t>:2303</w:t>
      </w:r>
      <w:r w:rsidR="005A5F5E" w:rsidRPr="00E87454">
        <w:rPr>
          <w:rFonts w:cs="Calibri"/>
          <w:sz w:val="20"/>
          <w:szCs w:val="20"/>
        </w:rPr>
        <w:t>–</w:t>
      </w:r>
      <w:r w:rsidR="0021701F" w:rsidRPr="00E87454">
        <w:rPr>
          <w:rFonts w:cs="Calibri"/>
          <w:sz w:val="20"/>
          <w:szCs w:val="20"/>
        </w:rPr>
        <w:t>4.</w:t>
      </w:r>
    </w:p>
    <w:p w:rsidR="0021701F" w:rsidRPr="00E87454" w:rsidRDefault="0074665D" w:rsidP="00BF57A9">
      <w:pPr>
        <w:spacing w:after="0" w:line="240" w:lineRule="auto"/>
        <w:rPr>
          <w:rFonts w:cs="Calibri"/>
          <w:sz w:val="20"/>
          <w:szCs w:val="20"/>
        </w:rPr>
      </w:pPr>
      <w:r w:rsidRPr="00E87454">
        <w:rPr>
          <w:rFonts w:cs="Calibri"/>
          <w:sz w:val="20"/>
          <w:szCs w:val="20"/>
        </w:rPr>
        <w:t>55</w:t>
      </w:r>
      <w:r w:rsidR="00E87454" w:rsidRPr="00E87454">
        <w:rPr>
          <w:rFonts w:cs="Calibri"/>
          <w:sz w:val="20"/>
          <w:szCs w:val="20"/>
        </w:rPr>
        <w:t xml:space="preserve"> </w:t>
      </w:r>
      <w:r w:rsidR="0021701F" w:rsidRPr="00E87454">
        <w:rPr>
          <w:rFonts w:cs="Calibri"/>
          <w:sz w:val="20"/>
          <w:szCs w:val="20"/>
        </w:rPr>
        <w:t xml:space="preserve">Cuchel M, Meagher EA, du Toit Theron H </w:t>
      </w:r>
      <w:r w:rsidR="006879DD" w:rsidRPr="00E87454">
        <w:rPr>
          <w:rFonts w:cs="Calibri"/>
          <w:sz w:val="20"/>
          <w:szCs w:val="20"/>
        </w:rPr>
        <w:t>et al</w:t>
      </w:r>
      <w:r w:rsidR="0021701F" w:rsidRPr="00E87454">
        <w:rPr>
          <w:rFonts w:cs="Calibri"/>
          <w:sz w:val="20"/>
          <w:szCs w:val="20"/>
        </w:rPr>
        <w:t xml:space="preserve">; Phase 3 HoFH Lomitapide Study investigators.  Efficacy and safety of a microsomal triglyceride transfer protein inhibitor in patients with homozygous familial hypercholesterolaemia: a single-arm, open-label, phase 3 study. </w:t>
      </w:r>
      <w:r w:rsidR="0021701F" w:rsidRPr="00E87454">
        <w:rPr>
          <w:rFonts w:cs="Calibri"/>
          <w:i/>
          <w:sz w:val="20"/>
          <w:szCs w:val="20"/>
        </w:rPr>
        <w:t xml:space="preserve">Lancet </w:t>
      </w:r>
      <w:r w:rsidR="0021701F" w:rsidRPr="00E87454">
        <w:rPr>
          <w:rFonts w:cs="Calibri"/>
          <w:sz w:val="20"/>
          <w:szCs w:val="20"/>
        </w:rPr>
        <w:t xml:space="preserve">2013; </w:t>
      </w:r>
      <w:r w:rsidR="0021701F" w:rsidRPr="00E87454">
        <w:rPr>
          <w:rFonts w:cs="Calibri"/>
          <w:b/>
          <w:sz w:val="20"/>
          <w:szCs w:val="20"/>
        </w:rPr>
        <w:t>381</w:t>
      </w:r>
      <w:r w:rsidR="0021701F" w:rsidRPr="00E87454">
        <w:rPr>
          <w:rFonts w:cs="Calibri"/>
          <w:sz w:val="20"/>
          <w:szCs w:val="20"/>
        </w:rPr>
        <w:t>:40</w:t>
      </w:r>
      <w:r w:rsidR="005A5F5E" w:rsidRPr="00E87454">
        <w:rPr>
          <w:rFonts w:cs="Calibri"/>
          <w:sz w:val="20"/>
          <w:szCs w:val="20"/>
        </w:rPr>
        <w:t>–</w:t>
      </w:r>
      <w:r w:rsidR="0021701F" w:rsidRPr="00E87454">
        <w:rPr>
          <w:rFonts w:cs="Calibri"/>
          <w:sz w:val="20"/>
          <w:szCs w:val="20"/>
        </w:rPr>
        <w:t xml:space="preserve">6. </w:t>
      </w:r>
    </w:p>
    <w:p w:rsidR="00FF74D0" w:rsidRPr="00E87454" w:rsidRDefault="0074665D" w:rsidP="00BF57A9">
      <w:pPr>
        <w:spacing w:after="0" w:line="240" w:lineRule="auto"/>
        <w:rPr>
          <w:rFonts w:cs="Calibri"/>
          <w:sz w:val="20"/>
          <w:szCs w:val="20"/>
        </w:rPr>
      </w:pPr>
      <w:r w:rsidRPr="00E87454">
        <w:rPr>
          <w:rFonts w:cs="Calibri"/>
          <w:sz w:val="20"/>
          <w:szCs w:val="20"/>
        </w:rPr>
        <w:t>56</w:t>
      </w:r>
      <w:r w:rsidR="00E87454" w:rsidRPr="00E87454">
        <w:rPr>
          <w:rFonts w:cs="Calibri"/>
          <w:sz w:val="20"/>
          <w:szCs w:val="20"/>
        </w:rPr>
        <w:t xml:space="preserve"> </w:t>
      </w:r>
      <w:r w:rsidRPr="00E87454">
        <w:rPr>
          <w:rFonts w:cs="Calibri"/>
          <w:sz w:val="20"/>
          <w:szCs w:val="20"/>
        </w:rPr>
        <w:t xml:space="preserve">Raal FJ, Santos RD, Blom DJ </w:t>
      </w:r>
      <w:r w:rsidR="006879DD" w:rsidRPr="00E87454">
        <w:rPr>
          <w:rFonts w:cs="Calibri"/>
          <w:sz w:val="20"/>
          <w:szCs w:val="20"/>
        </w:rPr>
        <w:t>et al</w:t>
      </w:r>
      <w:r w:rsidRPr="00E87454">
        <w:rPr>
          <w:rFonts w:cs="Calibri"/>
          <w:sz w:val="20"/>
          <w:szCs w:val="20"/>
        </w:rPr>
        <w:t xml:space="preserve">. Mipomersen, an apolipoprotein B synthesis inhibitor, for lowering of LDL cholesterol concentrations in patients with homozygous familial hypercholesterolaemia: a randomised, double-blind, placebo-controlled trial. </w:t>
      </w:r>
      <w:r w:rsidRPr="00E87454">
        <w:rPr>
          <w:rFonts w:cs="Calibri"/>
          <w:i/>
          <w:sz w:val="20"/>
          <w:szCs w:val="20"/>
        </w:rPr>
        <w:t>Lancet</w:t>
      </w:r>
      <w:r w:rsidRPr="00E87454">
        <w:rPr>
          <w:rFonts w:cs="Calibri"/>
          <w:sz w:val="20"/>
          <w:szCs w:val="20"/>
        </w:rPr>
        <w:t xml:space="preserve"> 2010;</w:t>
      </w:r>
      <w:r w:rsidRPr="00E87454">
        <w:rPr>
          <w:rFonts w:cs="Calibri"/>
          <w:b/>
          <w:sz w:val="20"/>
          <w:szCs w:val="20"/>
        </w:rPr>
        <w:t>375</w:t>
      </w:r>
      <w:r w:rsidRPr="00E87454">
        <w:rPr>
          <w:rFonts w:cs="Calibri"/>
          <w:sz w:val="20"/>
          <w:szCs w:val="20"/>
        </w:rPr>
        <w:t>:998</w:t>
      </w:r>
      <w:r w:rsidR="005A5F5E" w:rsidRPr="00E87454">
        <w:rPr>
          <w:rFonts w:cs="Calibri"/>
          <w:sz w:val="20"/>
          <w:szCs w:val="20"/>
        </w:rPr>
        <w:t>–</w:t>
      </w:r>
      <w:r w:rsidRPr="00E87454">
        <w:rPr>
          <w:rFonts w:cs="Calibri"/>
          <w:sz w:val="20"/>
          <w:szCs w:val="20"/>
        </w:rPr>
        <w:t>1006.</w:t>
      </w:r>
    </w:p>
    <w:p w:rsidR="0021701F" w:rsidRPr="00E87454" w:rsidRDefault="0074665D" w:rsidP="00BF57A9">
      <w:pPr>
        <w:spacing w:after="0" w:line="240" w:lineRule="auto"/>
        <w:rPr>
          <w:rFonts w:cs="Calibri"/>
          <w:sz w:val="20"/>
          <w:szCs w:val="20"/>
        </w:rPr>
      </w:pPr>
      <w:r w:rsidRPr="00E87454">
        <w:rPr>
          <w:rFonts w:cs="Calibri"/>
          <w:sz w:val="20"/>
          <w:szCs w:val="20"/>
        </w:rPr>
        <w:t>57</w:t>
      </w:r>
      <w:r w:rsidR="00E87454" w:rsidRPr="00E87454">
        <w:rPr>
          <w:rFonts w:cs="Calibri"/>
          <w:sz w:val="20"/>
          <w:szCs w:val="20"/>
        </w:rPr>
        <w:t xml:space="preserve"> </w:t>
      </w:r>
      <w:r w:rsidR="0021701F" w:rsidRPr="00E87454">
        <w:rPr>
          <w:rFonts w:cs="Calibri"/>
          <w:sz w:val="20"/>
          <w:szCs w:val="20"/>
        </w:rPr>
        <w:t xml:space="preserve">Pollin TI, Damcott CM, Shen H </w:t>
      </w:r>
      <w:r w:rsidR="006879DD" w:rsidRPr="00E87454">
        <w:rPr>
          <w:rFonts w:cs="Calibri"/>
          <w:sz w:val="20"/>
          <w:szCs w:val="20"/>
        </w:rPr>
        <w:t>et al</w:t>
      </w:r>
      <w:r w:rsidR="0021701F" w:rsidRPr="00E87454">
        <w:rPr>
          <w:rFonts w:cs="Calibri"/>
          <w:sz w:val="20"/>
          <w:szCs w:val="20"/>
        </w:rPr>
        <w:t xml:space="preserve">. </w:t>
      </w:r>
      <w:r w:rsidR="007B1479" w:rsidRPr="00E87454">
        <w:rPr>
          <w:rFonts w:cs="Calibri"/>
          <w:sz w:val="20"/>
          <w:szCs w:val="20"/>
        </w:rPr>
        <w:t>A</w:t>
      </w:r>
      <w:r w:rsidR="0021701F" w:rsidRPr="00E87454">
        <w:rPr>
          <w:rFonts w:cs="Calibri"/>
          <w:sz w:val="20"/>
          <w:szCs w:val="20"/>
        </w:rPr>
        <w:t xml:space="preserve"> null mutation in human APOC3 confers a favorable plasma lipid profile and apparent cardioprotection. </w:t>
      </w:r>
      <w:r w:rsidR="0021701F" w:rsidRPr="00E87454">
        <w:rPr>
          <w:rFonts w:cs="Calibri"/>
          <w:i/>
          <w:sz w:val="20"/>
          <w:szCs w:val="20"/>
        </w:rPr>
        <w:t>Science</w:t>
      </w:r>
      <w:r w:rsidR="0021701F" w:rsidRPr="00E87454">
        <w:rPr>
          <w:rFonts w:cs="Calibri"/>
          <w:sz w:val="20"/>
          <w:szCs w:val="20"/>
        </w:rPr>
        <w:t xml:space="preserve"> 2008; </w:t>
      </w:r>
      <w:r w:rsidR="0021701F" w:rsidRPr="00E87454">
        <w:rPr>
          <w:rFonts w:cs="Calibri"/>
          <w:b/>
          <w:sz w:val="20"/>
          <w:szCs w:val="20"/>
        </w:rPr>
        <w:t>322</w:t>
      </w:r>
      <w:r w:rsidR="0021701F" w:rsidRPr="00E87454">
        <w:rPr>
          <w:rFonts w:cs="Calibri"/>
          <w:sz w:val="20"/>
          <w:szCs w:val="20"/>
        </w:rPr>
        <w:t>:1702</w:t>
      </w:r>
      <w:r w:rsidR="003F196E" w:rsidRPr="00E87454">
        <w:rPr>
          <w:rFonts w:cs="Calibri"/>
          <w:sz w:val="20"/>
          <w:szCs w:val="20"/>
        </w:rPr>
        <w:t>–</w:t>
      </w:r>
      <w:r w:rsidR="0021701F" w:rsidRPr="00E87454">
        <w:rPr>
          <w:rFonts w:cs="Calibri"/>
          <w:sz w:val="20"/>
          <w:szCs w:val="20"/>
        </w:rPr>
        <w:t>5.</w:t>
      </w:r>
    </w:p>
    <w:p w:rsidR="0021701F" w:rsidRPr="00E87454" w:rsidRDefault="0074665D" w:rsidP="00BF57A9">
      <w:pPr>
        <w:spacing w:after="0" w:line="240" w:lineRule="auto"/>
        <w:rPr>
          <w:rFonts w:cs="Calibri"/>
          <w:sz w:val="20"/>
          <w:szCs w:val="20"/>
        </w:rPr>
      </w:pPr>
      <w:r w:rsidRPr="00E87454">
        <w:rPr>
          <w:rFonts w:cs="Calibri"/>
          <w:sz w:val="20"/>
          <w:szCs w:val="20"/>
        </w:rPr>
        <w:t>58</w:t>
      </w:r>
      <w:r w:rsidR="00E87454" w:rsidRPr="00E87454">
        <w:rPr>
          <w:rFonts w:cs="Calibri"/>
          <w:sz w:val="20"/>
          <w:szCs w:val="20"/>
        </w:rPr>
        <w:t xml:space="preserve"> </w:t>
      </w:r>
      <w:r w:rsidR="0021701F" w:rsidRPr="00E87454">
        <w:rPr>
          <w:rFonts w:cs="Calibri"/>
          <w:sz w:val="20"/>
          <w:szCs w:val="20"/>
        </w:rPr>
        <w:t xml:space="preserve">Musunuru K, Pirruccello JP, Do R </w:t>
      </w:r>
      <w:r w:rsidR="006879DD" w:rsidRPr="00E87454">
        <w:rPr>
          <w:rFonts w:cs="Calibri"/>
          <w:sz w:val="20"/>
          <w:szCs w:val="20"/>
        </w:rPr>
        <w:t>et al</w:t>
      </w:r>
      <w:r w:rsidR="0021701F" w:rsidRPr="00E87454">
        <w:rPr>
          <w:rFonts w:cs="Calibri"/>
          <w:sz w:val="20"/>
          <w:szCs w:val="20"/>
        </w:rPr>
        <w:t xml:space="preserve">. Exome sequencing, ANGPTL3 mutations, and familial </w:t>
      </w:r>
      <w:r w:rsidR="0021701F" w:rsidRPr="00E87454">
        <w:rPr>
          <w:rFonts w:cs="Calibri"/>
          <w:sz w:val="20"/>
          <w:szCs w:val="20"/>
        </w:rPr>
        <w:lastRenderedPageBreak/>
        <w:t xml:space="preserve">combined hypolipidemia. </w:t>
      </w:r>
      <w:r w:rsidR="0021701F" w:rsidRPr="00E87454">
        <w:rPr>
          <w:rFonts w:cs="Calibri"/>
          <w:i/>
          <w:sz w:val="20"/>
          <w:szCs w:val="20"/>
        </w:rPr>
        <w:t>N Engl J Med</w:t>
      </w:r>
      <w:r w:rsidR="0021701F" w:rsidRPr="00E87454">
        <w:rPr>
          <w:rFonts w:cs="Calibri"/>
          <w:sz w:val="20"/>
          <w:szCs w:val="20"/>
        </w:rPr>
        <w:t xml:space="preserve"> 2010; </w:t>
      </w:r>
      <w:r w:rsidR="0021701F" w:rsidRPr="00E87454">
        <w:rPr>
          <w:rFonts w:cs="Calibri"/>
          <w:b/>
          <w:sz w:val="20"/>
          <w:szCs w:val="20"/>
        </w:rPr>
        <w:t>363</w:t>
      </w:r>
      <w:r w:rsidR="0021701F" w:rsidRPr="00E87454">
        <w:rPr>
          <w:rFonts w:cs="Calibri"/>
          <w:sz w:val="20"/>
          <w:szCs w:val="20"/>
        </w:rPr>
        <w:t>:2220</w:t>
      </w:r>
      <w:r w:rsidR="003F196E" w:rsidRPr="00E87454">
        <w:rPr>
          <w:rFonts w:cs="Calibri"/>
          <w:sz w:val="20"/>
          <w:szCs w:val="20"/>
        </w:rPr>
        <w:t>–</w:t>
      </w:r>
      <w:r w:rsidR="0021701F" w:rsidRPr="00E87454">
        <w:rPr>
          <w:rFonts w:cs="Calibri"/>
          <w:sz w:val="20"/>
          <w:szCs w:val="20"/>
        </w:rPr>
        <w:t>7.</w:t>
      </w:r>
    </w:p>
    <w:p w:rsidR="00896E71" w:rsidRDefault="00896E71" w:rsidP="00BF57A9">
      <w:pPr>
        <w:spacing w:after="0" w:line="240" w:lineRule="auto"/>
        <w:rPr>
          <w:rFonts w:cs="Calibri"/>
        </w:rPr>
      </w:pPr>
    </w:p>
    <w:p w:rsidR="008E32FC" w:rsidRPr="003E16B6" w:rsidRDefault="008E32FC" w:rsidP="00BF57A9">
      <w:pPr>
        <w:spacing w:after="0" w:line="240" w:lineRule="auto"/>
        <w:jc w:val="both"/>
        <w:rPr>
          <w:rFonts w:cs="Calibri"/>
          <w:b/>
          <w:sz w:val="20"/>
          <w:szCs w:val="20"/>
        </w:rPr>
      </w:pPr>
      <w:r w:rsidRPr="003E16B6">
        <w:rPr>
          <w:rFonts w:cs="Calibri"/>
          <w:b/>
          <w:sz w:val="20"/>
          <w:szCs w:val="20"/>
        </w:rPr>
        <w:t>European Atherosclerosis Society (EAS) Consensus Panel:</w:t>
      </w:r>
    </w:p>
    <w:p w:rsidR="00B544E5" w:rsidRPr="00896E71" w:rsidRDefault="00B544E5" w:rsidP="00BF57A9">
      <w:pPr>
        <w:spacing w:after="0" w:line="240" w:lineRule="auto"/>
        <w:jc w:val="both"/>
        <w:rPr>
          <w:rFonts w:cs="Calibri"/>
          <w:sz w:val="20"/>
          <w:szCs w:val="20"/>
        </w:rPr>
      </w:pPr>
      <w:r w:rsidRPr="00896E71">
        <w:rPr>
          <w:rFonts w:cs="Calibri"/>
          <w:sz w:val="20"/>
          <w:szCs w:val="20"/>
        </w:rPr>
        <w:t>Co-chairs: M. John Chapman DSc (MJC, Research Professor, University of Pierre and Marie Curie, and Director Emeritus, Dyslipidaemia and Atherosclerosis Research Unit, INSERM U939, Pitié-Salpetriere University Hospital, Paris, France); Henry N. Ginsberg MD (HNG, Irving Professor of Medicine, Director, Irving Institute for Clinical and Translational Research, Columbia University, New York, USA).</w:t>
      </w:r>
    </w:p>
    <w:p w:rsidR="00B544E5" w:rsidRPr="00896E71" w:rsidRDefault="00B544E5" w:rsidP="00BF57A9">
      <w:pPr>
        <w:spacing w:after="0" w:line="240" w:lineRule="auto"/>
        <w:jc w:val="both"/>
        <w:rPr>
          <w:rFonts w:cs="Calibri"/>
          <w:sz w:val="20"/>
          <w:szCs w:val="20"/>
        </w:rPr>
      </w:pPr>
      <w:r w:rsidRPr="00896E71">
        <w:rPr>
          <w:rFonts w:cs="Calibri"/>
          <w:sz w:val="20"/>
          <w:szCs w:val="20"/>
        </w:rPr>
        <w:t>Writing committee: Maurizio Averna MD (MA, Professor, Department of Internal Medicine, University of Palermo, Italy), Jan Borén MD (JB, Director, Strategic Research Center, Sahlgrenska Center for Cardiovascular and Metabolic Research (CMR), University of Gothenburg, Sweden), Eric Bruckert MD (EB, Professor, Department of Endocrinology and Metabolism and Head, Endocrinology and Cardiovascular Disease Prevention, Hôpital Pitié-Salpêtrière, Paris, France), Alberico L. Catapano PhD (ALC, Professor of Pharmacology, University of Milan and Multimedica IRCSS, Milan, Italy), MJC, HNG, Robert A. Hegele MD (RAH, University of Western Ontario, Canada), G. Kees Hovingh MD (GKH, Department of Vascular Medicine, Academic Medical Center, University of Amsterdam, The Netherlands), Jan Albert Kuivenhoven PhD (JAK, University of Groningen, University Medical Center Groningen, Department of Molecular Genetics, The Netherlands), Päivi Pajukanta MD (PP, Department of Human Genetics, David Geffen School of Medicine, University of California Los Angeles, USA), Kausik K. Ray MD (KKR, Professor of Cardiovascular Disease Prevention, Cardiovascular Sciences Research Centre, St George’s Hospital NHS Trust, London, UK), Anton F.H. Stalenhoef MD (AFHS, Professor, Department of Internal Medicine, Radboud University Medical Center, Nijmegen, The Netherlands), Erik Stroes MD (ES, Professor, Department of Vascular Medicine, Academic Medical Center, Amsterdam, The Netherlands), Marja-Riitta Taskinen (M-RT, Professor Emerita, Cardiovascular Research Group, Heart and Lung Centre, Helsinki University Central Hospital and Research Programs Unit, Diabetes and Obesity, University of Helsinki, Finland), Anne Tybjærg-Hansen DMSc (AT-H, Clinical Professor, Department of Clinical Medicine, Rigshospitalet, University of Copenhagen, Denmark).</w:t>
      </w:r>
    </w:p>
    <w:p w:rsidR="00B544E5" w:rsidRPr="00896E71" w:rsidRDefault="00B544E5" w:rsidP="00BF57A9">
      <w:pPr>
        <w:spacing w:after="0" w:line="240" w:lineRule="auto"/>
        <w:jc w:val="both"/>
        <w:rPr>
          <w:rFonts w:cs="Calibri"/>
          <w:sz w:val="20"/>
          <w:szCs w:val="20"/>
        </w:rPr>
      </w:pPr>
      <w:r w:rsidRPr="00896E71">
        <w:rPr>
          <w:rFonts w:cs="Calibri"/>
          <w:sz w:val="20"/>
          <w:szCs w:val="20"/>
        </w:rPr>
        <w:lastRenderedPageBreak/>
        <w:t>Other Panel Members: Olivier S. Descamps MD, (OSD, Director, Centre de Recherche Médicale, Lipid Clinic, Hopital de Jolimont, Belgium), Steve E. Humphries PhD (SEH, Professor, Centre for Cardiovascular Genetics, Institute of Cardiovascular Science, University College London, UK), Petri T. Kovanen MD (PTK, Professor, (retired), Wihuri Research Institute, Helsinki, Finland), Luis Masana MD (LM, Professor, Vascular Medicine and Metabolism Unit, Sant Joan University Hospital, Universitat Rovira &amp; Virgili, IISPV, CIBERDEM, Reus, Spain), Børge G. Nordestgaard DMSc (BGN, Professor in Genetic Epidemiology, University of Copenhagen; Department of Diagnostic Sciences, Herlev Hospital, Denmark), Klaus G. Parhofer MD (KGP, Professor, Department of Endocrinology and Metabolism, University of Munich, Germany), Frederick J. Raal MD (FJR, Professor, Division of Endocrinology and Metabolism, Director of the Carbohydrate and Lipid Metabolism Research Unit, University of the Witwatersrand, Johannesburg, South Africa), Raul D. Santos MD (RDS, Associate Professor of Medicine and Director Lipid Clinic Heart Institute (InCor), University of Sao Paulo Medical School Hospital, Brazil), Gerald F. Watts DSc (GFW, Professor, School of Medicine and Pharmacology Royal Perth Hospital Unit, The University of Western Australia, Australia), Olov Wiklund MD (OW, Professor Emeritus, Department of Cardiology, Wallenberg Laboratory, Sahlgrenska University Hospital, Gothenburg, Sweden).</w:t>
      </w:r>
    </w:p>
    <w:p w:rsidR="00B544E5" w:rsidRPr="00896E71" w:rsidRDefault="00B544E5" w:rsidP="00BF57A9">
      <w:pPr>
        <w:spacing w:after="0" w:line="240" w:lineRule="auto"/>
        <w:jc w:val="both"/>
        <w:rPr>
          <w:rFonts w:cs="Calibri"/>
          <w:sz w:val="20"/>
          <w:szCs w:val="20"/>
        </w:rPr>
      </w:pPr>
    </w:p>
    <w:p w:rsidR="008E32FC" w:rsidRDefault="00B544E5" w:rsidP="00BF57A9">
      <w:pPr>
        <w:spacing w:after="0" w:line="240" w:lineRule="auto"/>
        <w:jc w:val="both"/>
        <w:rPr>
          <w:rFonts w:cs="Calibri"/>
          <w:sz w:val="20"/>
          <w:szCs w:val="20"/>
        </w:rPr>
      </w:pPr>
      <w:r w:rsidRPr="00896E71">
        <w:rPr>
          <w:rFonts w:cs="Calibri"/>
          <w:sz w:val="20"/>
          <w:szCs w:val="20"/>
        </w:rPr>
        <w:t xml:space="preserve">The EAS Consensus Panel met twice in Paris and London at meetings organised and chaired by MJC and HNG. The first meeting critically reviewed the literature while the second meeting scrutinised the first draft of the consensus paper. RAH, MA, JB, EB, ALC, JAK, PP, KKR, AFHS, ES, M-RT, AT-H, MJC and HNG each drafted sections and/or outline for the first version, while the complete draft was revised by RAH, MJC and HNG. All Panel members agreed to the conception and design, contributed to interpretation of available data, and suggested revisions to this document. All Panel members approved the final document before submission. </w:t>
      </w:r>
      <w:r w:rsidR="008E32FC" w:rsidRPr="00896E71">
        <w:rPr>
          <w:rFonts w:cs="Calibri"/>
          <w:sz w:val="20"/>
          <w:szCs w:val="20"/>
        </w:rPr>
        <w:t xml:space="preserve"> </w:t>
      </w:r>
    </w:p>
    <w:p w:rsidR="00A25FE8" w:rsidRDefault="00A25FE8" w:rsidP="00BF57A9">
      <w:pPr>
        <w:spacing w:after="0" w:line="240" w:lineRule="auto"/>
        <w:jc w:val="both"/>
        <w:rPr>
          <w:rFonts w:cs="Calibri"/>
          <w:sz w:val="20"/>
          <w:szCs w:val="20"/>
        </w:rPr>
      </w:pPr>
    </w:p>
    <w:p w:rsidR="008E32FC" w:rsidRPr="00E87454" w:rsidRDefault="00BE7543" w:rsidP="00BF57A9">
      <w:pPr>
        <w:spacing w:after="0" w:line="240" w:lineRule="auto"/>
        <w:rPr>
          <w:rFonts w:cs="Calibri"/>
          <w:b/>
          <w:sz w:val="20"/>
          <w:szCs w:val="20"/>
        </w:rPr>
      </w:pPr>
      <w:r w:rsidRPr="00E87454">
        <w:rPr>
          <w:rFonts w:cs="Calibri"/>
          <w:b/>
          <w:sz w:val="20"/>
          <w:szCs w:val="20"/>
        </w:rPr>
        <w:t>Role of f</w:t>
      </w:r>
      <w:r w:rsidR="008E32FC" w:rsidRPr="00E87454">
        <w:rPr>
          <w:rFonts w:cs="Calibri"/>
          <w:b/>
          <w:sz w:val="20"/>
          <w:szCs w:val="20"/>
        </w:rPr>
        <w:t xml:space="preserve">unding </w:t>
      </w:r>
      <w:r w:rsidRPr="00E87454">
        <w:rPr>
          <w:rFonts w:cs="Calibri"/>
          <w:b/>
          <w:sz w:val="20"/>
          <w:szCs w:val="20"/>
        </w:rPr>
        <w:t>source</w:t>
      </w:r>
    </w:p>
    <w:p w:rsidR="008E32FC" w:rsidRDefault="008E32FC" w:rsidP="00BF57A9">
      <w:pPr>
        <w:spacing w:after="0" w:line="240" w:lineRule="auto"/>
        <w:rPr>
          <w:rFonts w:cs="Calibri"/>
          <w:sz w:val="20"/>
          <w:szCs w:val="20"/>
        </w:rPr>
      </w:pPr>
      <w:r w:rsidRPr="00E87454">
        <w:rPr>
          <w:rFonts w:cs="Calibri"/>
          <w:sz w:val="20"/>
          <w:szCs w:val="20"/>
        </w:rPr>
        <w:t xml:space="preserve">This work including Consensus Panel meetings were supported by unrestricted educational grants to the EAS from Amgen, Aegerion, AstraZeneca, Genzyme, Hoffman-La Roche, Kowa Europe, and Sanofi-Aventis/Regeneron. These companies were not present at the Consensus Panel meetings, had no </w:t>
      </w:r>
      <w:r w:rsidRPr="00E87454">
        <w:rPr>
          <w:rFonts w:cs="Calibri"/>
          <w:sz w:val="20"/>
          <w:szCs w:val="20"/>
        </w:rPr>
        <w:lastRenderedPageBreak/>
        <w:t>role in the design or content of the Consensus Statement and had no right to approve or disapprove of the final document.</w:t>
      </w:r>
    </w:p>
    <w:p w:rsidR="00A25FE8" w:rsidRPr="00E87454" w:rsidRDefault="00A25FE8" w:rsidP="00BF57A9">
      <w:pPr>
        <w:spacing w:after="0" w:line="240" w:lineRule="auto"/>
        <w:rPr>
          <w:rFonts w:cs="Calibri"/>
          <w:sz w:val="20"/>
          <w:szCs w:val="20"/>
        </w:rPr>
      </w:pPr>
    </w:p>
    <w:p w:rsidR="00E87454" w:rsidRPr="00E87454" w:rsidRDefault="00E87454" w:rsidP="00BF57A9">
      <w:pPr>
        <w:spacing w:after="0" w:line="240" w:lineRule="auto"/>
        <w:rPr>
          <w:rFonts w:cs="Calibri"/>
          <w:b/>
          <w:sz w:val="20"/>
          <w:szCs w:val="20"/>
        </w:rPr>
      </w:pPr>
      <w:r w:rsidRPr="00E87454">
        <w:rPr>
          <w:rFonts w:cs="Calibri"/>
          <w:b/>
          <w:sz w:val="20"/>
          <w:szCs w:val="20"/>
        </w:rPr>
        <w:t>Acknowledgments</w:t>
      </w:r>
    </w:p>
    <w:p w:rsidR="00E87454" w:rsidRPr="00E87454" w:rsidRDefault="00E87454" w:rsidP="00BF57A9">
      <w:pPr>
        <w:spacing w:after="0" w:line="240" w:lineRule="auto"/>
        <w:rPr>
          <w:rFonts w:cs="Calibri"/>
          <w:sz w:val="20"/>
          <w:szCs w:val="20"/>
        </w:rPr>
      </w:pPr>
      <w:r w:rsidRPr="00E87454">
        <w:rPr>
          <w:rFonts w:cs="Calibri"/>
          <w:sz w:val="20"/>
          <w:szCs w:val="20"/>
        </w:rPr>
        <w:t xml:space="preserve">RAH is supported by the Jacob J. Wolfe Distinguished Medical Research Chair at the University of Western Ontario, the Edith Schulich Vinet Canada Research Chair in Human Genetics (Tier I), the Martha G. Blackburn Chair in Cardiovascular Research, and operating grants from the CIHR (MOP-13430, MOP-79523, CTP-79853), the Heart and Stroke Foundation of Ontario (NA-6059, T-6018, PRG-4854), the Pfizer Jean Davignon Distinguished Cardiovascular and Metabolic Research Award, and Genome Canada through the Ontario Genomics Institute. </w:t>
      </w:r>
    </w:p>
    <w:p w:rsidR="008E32FC" w:rsidRPr="00E87454" w:rsidRDefault="00E87454" w:rsidP="00BF57A9">
      <w:pPr>
        <w:spacing w:after="0" w:line="240" w:lineRule="auto"/>
        <w:rPr>
          <w:rFonts w:cs="Calibri"/>
          <w:sz w:val="20"/>
          <w:szCs w:val="20"/>
        </w:rPr>
      </w:pPr>
      <w:r w:rsidRPr="00E87454">
        <w:rPr>
          <w:rFonts w:cs="Calibri"/>
          <w:sz w:val="20"/>
          <w:szCs w:val="20"/>
        </w:rPr>
        <w:t>We thank Ms Jane Stock for editorial and administrative support.</w:t>
      </w:r>
    </w:p>
    <w:p w:rsidR="00E87454" w:rsidRPr="00753CC0" w:rsidRDefault="00E87454" w:rsidP="00BF57A9">
      <w:pPr>
        <w:spacing w:after="0" w:line="240" w:lineRule="auto"/>
        <w:rPr>
          <w:rFonts w:cs="Calibri"/>
        </w:rPr>
      </w:pPr>
    </w:p>
    <w:p w:rsidR="008E32FC" w:rsidRPr="00E87454" w:rsidRDefault="008E32FC" w:rsidP="00BF57A9">
      <w:pPr>
        <w:spacing w:after="0" w:line="240" w:lineRule="auto"/>
        <w:rPr>
          <w:rFonts w:cs="Calibri"/>
          <w:b/>
          <w:sz w:val="20"/>
          <w:szCs w:val="20"/>
        </w:rPr>
      </w:pPr>
      <w:r w:rsidRPr="00E87454">
        <w:rPr>
          <w:rFonts w:cs="Calibri"/>
          <w:b/>
          <w:sz w:val="20"/>
          <w:szCs w:val="20"/>
        </w:rPr>
        <w:t>Conflicts of interest</w:t>
      </w:r>
    </w:p>
    <w:p w:rsidR="003E16B6" w:rsidRDefault="00B544E5" w:rsidP="00BF57A9">
      <w:pPr>
        <w:spacing w:after="0" w:line="240" w:lineRule="auto"/>
        <w:rPr>
          <w:rFonts w:cs="Calibri"/>
          <w:sz w:val="20"/>
          <w:szCs w:val="20"/>
          <w:lang w:val="en-GB"/>
        </w:rPr>
      </w:pPr>
      <w:r w:rsidRPr="00E87454">
        <w:rPr>
          <w:rFonts w:cs="Calibri"/>
          <w:sz w:val="20"/>
          <w:szCs w:val="20"/>
          <w:lang w:val="en-GB"/>
        </w:rPr>
        <w:t>Several of the Consensus Panel members have received lecture honoraria, consultancy fees and/or research funding from:</w:t>
      </w:r>
      <w:r w:rsidR="00E87454" w:rsidRPr="00E87454">
        <w:rPr>
          <w:rFonts w:cs="Calibri"/>
          <w:sz w:val="20"/>
          <w:szCs w:val="20"/>
          <w:lang w:val="en-GB"/>
        </w:rPr>
        <w:t xml:space="preserve"> Abbott (HNG;KKR;GFW;KGP); </w:t>
      </w:r>
      <w:r w:rsidRPr="00E87454">
        <w:rPr>
          <w:rFonts w:cs="Calibri"/>
          <w:sz w:val="20"/>
          <w:szCs w:val="20"/>
          <w:lang w:val="en-GB"/>
        </w:rPr>
        <w:t>Aegerion (BGN</w:t>
      </w:r>
      <w:r w:rsidR="00E87454" w:rsidRPr="00E87454">
        <w:rPr>
          <w:rFonts w:cs="Calibri"/>
          <w:sz w:val="20"/>
          <w:szCs w:val="20"/>
          <w:lang w:val="en-GB"/>
        </w:rPr>
        <w:t xml:space="preserve">;MJC;RDS;MA;ALC;KGP;EB;RAH;KKR);  </w:t>
      </w:r>
      <w:r w:rsidRPr="00E87454">
        <w:rPr>
          <w:rFonts w:cs="Calibri"/>
          <w:sz w:val="20"/>
          <w:szCs w:val="20"/>
          <w:lang w:val="en-GB"/>
        </w:rPr>
        <w:t>Amgen (ALC;MJC;HNG;FJR;LM;KGP;GFW;RDS;RAH; KKR)</w:t>
      </w:r>
      <w:r w:rsidR="00E87454" w:rsidRPr="00E87454">
        <w:rPr>
          <w:rFonts w:cs="Calibri"/>
          <w:sz w:val="20"/>
          <w:szCs w:val="20"/>
          <w:lang w:val="en-GB"/>
        </w:rPr>
        <w:t xml:space="preserve">; </w:t>
      </w:r>
      <w:r w:rsidRPr="00E87454">
        <w:rPr>
          <w:rFonts w:cs="Calibri"/>
          <w:sz w:val="20"/>
          <w:szCs w:val="20"/>
          <w:lang w:val="en-GB"/>
        </w:rPr>
        <w:t>AstraZeneca (ALC;BGN;MJC;HNG;JB;GFW;OSD;LM;RDS;KKR;KGP;OW;EB;M RT)</w:t>
      </w:r>
      <w:r w:rsidR="00E87454" w:rsidRPr="00E87454">
        <w:rPr>
          <w:rFonts w:cs="Calibri"/>
          <w:sz w:val="20"/>
          <w:szCs w:val="20"/>
          <w:lang w:val="en-GB"/>
        </w:rPr>
        <w:t xml:space="preserve">; </w:t>
      </w:r>
      <w:r w:rsidRPr="00E87454">
        <w:rPr>
          <w:rFonts w:cs="Calibri"/>
          <w:sz w:val="20"/>
          <w:szCs w:val="20"/>
          <w:lang w:val="en-GB"/>
        </w:rPr>
        <w:t>Boehringer Ingelheim (HNG; M-RT;KGP;GFW; KKR)</w:t>
      </w:r>
      <w:r w:rsidR="00E87454" w:rsidRPr="00E87454">
        <w:rPr>
          <w:rFonts w:cs="Calibri"/>
          <w:sz w:val="20"/>
          <w:szCs w:val="20"/>
          <w:lang w:val="en-GB"/>
        </w:rPr>
        <w:t xml:space="preserve">; </w:t>
      </w:r>
      <w:r w:rsidRPr="00E87454">
        <w:rPr>
          <w:rFonts w:cs="Calibri"/>
          <w:sz w:val="20"/>
          <w:szCs w:val="20"/>
          <w:lang w:val="en-GB"/>
        </w:rPr>
        <w:t>Bristol My</w:t>
      </w:r>
      <w:r w:rsidR="00E87454" w:rsidRPr="00E87454">
        <w:rPr>
          <w:rFonts w:cs="Calibri"/>
          <w:sz w:val="20"/>
          <w:szCs w:val="20"/>
          <w:lang w:val="en-GB"/>
        </w:rPr>
        <w:t xml:space="preserve">ers Squibb (HNG;RDS;KGP;ES;KKR); </w:t>
      </w:r>
      <w:r w:rsidRPr="00E87454">
        <w:rPr>
          <w:rFonts w:cs="Calibri"/>
          <w:sz w:val="20"/>
          <w:szCs w:val="20"/>
          <w:lang w:val="en-GB"/>
        </w:rPr>
        <w:t>Danone (MJC;EB;LM)</w:t>
      </w:r>
      <w:r w:rsidR="00E87454" w:rsidRPr="00E87454">
        <w:rPr>
          <w:rFonts w:cs="Calibri"/>
          <w:sz w:val="20"/>
          <w:szCs w:val="20"/>
          <w:lang w:val="en-GB"/>
        </w:rPr>
        <w:t xml:space="preserve">; </w:t>
      </w:r>
      <w:r w:rsidRPr="00E87454">
        <w:rPr>
          <w:rFonts w:cs="Calibri"/>
          <w:sz w:val="20"/>
          <w:szCs w:val="20"/>
          <w:lang w:val="en-GB"/>
        </w:rPr>
        <w:t>Genfit (EB;GFW)</w:t>
      </w:r>
      <w:r w:rsidR="00E87454" w:rsidRPr="00E87454">
        <w:rPr>
          <w:rFonts w:cs="Calibri"/>
          <w:sz w:val="20"/>
          <w:szCs w:val="20"/>
          <w:lang w:val="en-GB"/>
        </w:rPr>
        <w:t xml:space="preserve">; </w:t>
      </w:r>
      <w:r w:rsidRPr="00E87454">
        <w:rPr>
          <w:rFonts w:cs="Calibri"/>
          <w:sz w:val="20"/>
          <w:szCs w:val="20"/>
          <w:lang w:val="en-GB"/>
        </w:rPr>
        <w:t>Genzyme (MJC;HNG;SEH;RDS;MA;GKH;KGP;EB;ES;M-RT;ALC;KKR;AFHS)</w:t>
      </w:r>
      <w:r w:rsidR="00E87454" w:rsidRPr="00E87454">
        <w:rPr>
          <w:rFonts w:cs="Calibri"/>
          <w:sz w:val="20"/>
          <w:szCs w:val="20"/>
          <w:lang w:val="en-GB"/>
        </w:rPr>
        <w:t xml:space="preserve">; </w:t>
      </w:r>
      <w:r w:rsidRPr="00E87454">
        <w:rPr>
          <w:rFonts w:cs="Calibri"/>
          <w:sz w:val="20"/>
          <w:szCs w:val="20"/>
          <w:lang w:val="en-GB"/>
        </w:rPr>
        <w:t>Hoffman-La Roche (HNG;MJC;AFHS;MA;EB;M-RT;KKR;AFHS)</w:t>
      </w:r>
      <w:r w:rsidR="00E87454" w:rsidRPr="00E87454">
        <w:rPr>
          <w:rFonts w:cs="Calibri"/>
          <w:sz w:val="20"/>
          <w:szCs w:val="20"/>
          <w:lang w:val="en-GB"/>
        </w:rPr>
        <w:t xml:space="preserve">; </w:t>
      </w:r>
      <w:r w:rsidRPr="00E87454">
        <w:rPr>
          <w:rFonts w:cs="Calibri"/>
          <w:sz w:val="20"/>
          <w:szCs w:val="20"/>
          <w:lang w:val="en-GB"/>
        </w:rPr>
        <w:t>ISIS Pharmaceuticals (BGN;FJR;KGP;ES;RDS)</w:t>
      </w:r>
      <w:r w:rsidR="00E87454" w:rsidRPr="00E87454">
        <w:rPr>
          <w:rFonts w:cs="Calibri"/>
          <w:sz w:val="20"/>
          <w:szCs w:val="20"/>
          <w:lang w:val="en-GB"/>
        </w:rPr>
        <w:t xml:space="preserve">; </w:t>
      </w:r>
      <w:r w:rsidRPr="00E87454">
        <w:rPr>
          <w:rFonts w:cs="Calibri"/>
          <w:sz w:val="20"/>
          <w:szCs w:val="20"/>
          <w:lang w:val="en-GB"/>
        </w:rPr>
        <w:t>Janssen (HNG)</w:t>
      </w:r>
      <w:r w:rsidR="00E87454" w:rsidRPr="00E87454">
        <w:rPr>
          <w:rFonts w:cs="Calibri"/>
          <w:sz w:val="20"/>
          <w:szCs w:val="20"/>
          <w:lang w:val="en-GB"/>
        </w:rPr>
        <w:t xml:space="preserve">; </w:t>
      </w:r>
      <w:r w:rsidRPr="00E87454">
        <w:rPr>
          <w:rFonts w:cs="Calibri"/>
          <w:sz w:val="20"/>
          <w:szCs w:val="20"/>
          <w:lang w:val="en-GB"/>
        </w:rPr>
        <w:t>Kowa (HNG;ALC;MJC;LM;KKR;M-RT)</w:t>
      </w:r>
      <w:r w:rsidR="00E87454" w:rsidRPr="00E87454">
        <w:rPr>
          <w:rFonts w:cs="Calibri"/>
          <w:sz w:val="20"/>
          <w:szCs w:val="20"/>
          <w:lang w:val="en-GB"/>
        </w:rPr>
        <w:t xml:space="preserve">; </w:t>
      </w:r>
      <w:r w:rsidRPr="00E87454">
        <w:rPr>
          <w:rFonts w:cs="Calibri"/>
          <w:sz w:val="20"/>
          <w:szCs w:val="20"/>
          <w:lang w:val="en-GB"/>
        </w:rPr>
        <w:t>Kraft (EB)</w:t>
      </w:r>
      <w:r w:rsidR="00E87454" w:rsidRPr="00E87454">
        <w:rPr>
          <w:rFonts w:cs="Calibri"/>
          <w:sz w:val="20"/>
          <w:szCs w:val="20"/>
          <w:lang w:val="en-GB"/>
        </w:rPr>
        <w:t xml:space="preserve">; </w:t>
      </w:r>
      <w:r w:rsidRPr="00E87454">
        <w:rPr>
          <w:rFonts w:cs="Calibri"/>
          <w:sz w:val="20"/>
          <w:szCs w:val="20"/>
          <w:lang w:val="en-GB"/>
        </w:rPr>
        <w:t>Lilly (M-RT;KGP;ALC)</w:t>
      </w:r>
      <w:r w:rsidR="00E87454" w:rsidRPr="00E87454">
        <w:rPr>
          <w:rFonts w:cs="Calibri"/>
          <w:sz w:val="20"/>
          <w:szCs w:val="20"/>
          <w:lang w:val="en-GB"/>
        </w:rPr>
        <w:t xml:space="preserve">; </w:t>
      </w:r>
      <w:r w:rsidRPr="00E87454">
        <w:rPr>
          <w:rFonts w:cs="Calibri"/>
          <w:sz w:val="20"/>
          <w:szCs w:val="20"/>
          <w:lang w:val="en-GB"/>
        </w:rPr>
        <w:t>Merck/Schering Plough (BGN;MJC;HNG;JB;GFW;OSD;ALC;M-RT;LM;RDS;MA;GKH;KKR;KGP;OW;EB;RAH)</w:t>
      </w:r>
      <w:r w:rsidR="00E87454" w:rsidRPr="00E87454">
        <w:rPr>
          <w:rFonts w:cs="Calibri"/>
          <w:sz w:val="20"/>
          <w:szCs w:val="20"/>
          <w:lang w:val="en-GB"/>
        </w:rPr>
        <w:t>;</w:t>
      </w:r>
      <w:r w:rsidRPr="00E87454">
        <w:rPr>
          <w:rFonts w:cs="Calibri"/>
          <w:sz w:val="20"/>
          <w:szCs w:val="20"/>
          <w:lang w:val="en-GB"/>
        </w:rPr>
        <w:t xml:space="preserve"> Novartis (HNG;M-RT;LM;KKR;KGP)</w:t>
      </w:r>
      <w:r w:rsidR="00E87454" w:rsidRPr="00E87454">
        <w:rPr>
          <w:rFonts w:cs="Calibri"/>
          <w:sz w:val="20"/>
          <w:szCs w:val="20"/>
          <w:lang w:val="en-GB"/>
        </w:rPr>
        <w:t xml:space="preserve">; </w:t>
      </w:r>
      <w:r w:rsidRPr="00E87454">
        <w:rPr>
          <w:rFonts w:cs="Calibri"/>
          <w:sz w:val="20"/>
          <w:szCs w:val="20"/>
          <w:lang w:val="en-GB"/>
        </w:rPr>
        <w:t>Novo-Nordisk (RDS;KKR;M-RT)</w:t>
      </w:r>
      <w:r w:rsidR="00E87454" w:rsidRPr="00E87454">
        <w:rPr>
          <w:rFonts w:cs="Calibri"/>
          <w:sz w:val="20"/>
          <w:szCs w:val="20"/>
          <w:lang w:val="en-GB"/>
        </w:rPr>
        <w:t xml:space="preserve">; </w:t>
      </w:r>
      <w:r w:rsidRPr="00E87454">
        <w:rPr>
          <w:rFonts w:cs="Calibri"/>
          <w:sz w:val="20"/>
          <w:szCs w:val="20"/>
          <w:lang w:val="en-GB"/>
        </w:rPr>
        <w:t>Pfizer (ALC;BGN;MJC;HNG;JB;GFW;OSD;RDS;MA;GKH;KKR;OW; M-RT)</w:t>
      </w:r>
      <w:r w:rsidR="00E87454" w:rsidRPr="00E87454">
        <w:rPr>
          <w:rFonts w:cs="Calibri"/>
          <w:sz w:val="20"/>
          <w:szCs w:val="20"/>
          <w:lang w:val="en-GB"/>
        </w:rPr>
        <w:t xml:space="preserve">; </w:t>
      </w:r>
      <w:r w:rsidRPr="00E87454">
        <w:rPr>
          <w:rFonts w:cs="Calibri"/>
          <w:sz w:val="20"/>
          <w:szCs w:val="20"/>
          <w:lang w:val="en-GB"/>
        </w:rPr>
        <w:t>Sanofi-Aventis/Regeneron (ALC;MJC;BGN;HNG;JB;GFW;OSD;M RT;FJR;LM;MA; KKR;KGP;OW;EB;ES;RDS)</w:t>
      </w:r>
      <w:r w:rsidR="00E87454" w:rsidRPr="00E87454">
        <w:rPr>
          <w:rFonts w:cs="Calibri"/>
          <w:sz w:val="20"/>
          <w:szCs w:val="20"/>
          <w:lang w:val="en-GB"/>
        </w:rPr>
        <w:t>;</w:t>
      </w:r>
      <w:r w:rsidRPr="00E87454">
        <w:rPr>
          <w:rFonts w:cs="Calibri"/>
          <w:sz w:val="20"/>
          <w:szCs w:val="20"/>
          <w:lang w:val="en-GB"/>
        </w:rPr>
        <w:t xml:space="preserve"> Solvay (ODS;KKR)</w:t>
      </w:r>
      <w:r w:rsidR="00E87454" w:rsidRPr="00E87454">
        <w:rPr>
          <w:rFonts w:cs="Calibri"/>
          <w:sz w:val="20"/>
          <w:szCs w:val="20"/>
          <w:lang w:val="en-GB"/>
        </w:rPr>
        <w:t>;</w:t>
      </w:r>
      <w:r w:rsidRPr="00E87454">
        <w:rPr>
          <w:rFonts w:cs="Calibri"/>
          <w:sz w:val="20"/>
          <w:szCs w:val="20"/>
          <w:lang w:val="en-GB"/>
        </w:rPr>
        <w:t>Takeda (KKR)</w:t>
      </w:r>
      <w:r w:rsidR="00E87454" w:rsidRPr="00E87454">
        <w:rPr>
          <w:rFonts w:cs="Calibri"/>
          <w:sz w:val="20"/>
          <w:szCs w:val="20"/>
          <w:lang w:val="en-GB"/>
        </w:rPr>
        <w:t xml:space="preserve">; </w:t>
      </w:r>
      <w:r w:rsidRPr="00E87454">
        <w:rPr>
          <w:rFonts w:cs="Calibri"/>
          <w:sz w:val="20"/>
          <w:szCs w:val="20"/>
          <w:lang w:val="en-GB"/>
        </w:rPr>
        <w:t>Unilever (EB) and Valeant (RAH).</w:t>
      </w:r>
      <w:r w:rsidR="00B36D22">
        <w:rPr>
          <w:rFonts w:cs="Calibri"/>
          <w:sz w:val="20"/>
          <w:szCs w:val="20"/>
          <w:lang w:val="en-GB"/>
        </w:rPr>
        <w:t xml:space="preserve"> </w:t>
      </w:r>
    </w:p>
    <w:p w:rsidR="00ED00FF" w:rsidRPr="00B36D22" w:rsidRDefault="00B544E5" w:rsidP="00BF57A9">
      <w:pPr>
        <w:spacing w:after="0" w:line="240" w:lineRule="auto"/>
        <w:rPr>
          <w:rFonts w:cs="Calibri"/>
          <w:sz w:val="20"/>
          <w:szCs w:val="20"/>
          <w:lang w:val="en-GB"/>
        </w:rPr>
      </w:pPr>
      <w:r w:rsidRPr="00E87454">
        <w:rPr>
          <w:rFonts w:cs="Calibri"/>
          <w:sz w:val="20"/>
          <w:szCs w:val="20"/>
          <w:lang w:val="en-GB"/>
        </w:rPr>
        <w:t>Petri T. Kovanen, Jan Albert Kuivenhoven, Päivi Pajukanta and Anne Tybjærg-Hansen report no disclosures</w:t>
      </w:r>
      <w:r w:rsidR="00CF78D8" w:rsidRPr="00E87454">
        <w:rPr>
          <w:rFonts w:cs="Calibri"/>
          <w:sz w:val="20"/>
          <w:szCs w:val="20"/>
          <w:lang w:val="en-GB"/>
        </w:rPr>
        <w:t xml:space="preserve">. </w:t>
      </w:r>
    </w:p>
    <w:sectPr w:rsidR="00ED00FF" w:rsidRPr="00B36D22" w:rsidSect="00BF57A9">
      <w:type w:val="continuous"/>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01" w:rsidRDefault="00647F01" w:rsidP="002E6A9C">
      <w:pPr>
        <w:spacing w:after="0" w:line="240" w:lineRule="auto"/>
      </w:pPr>
      <w:r>
        <w:separator/>
      </w:r>
    </w:p>
  </w:endnote>
  <w:endnote w:type="continuationSeparator" w:id="0">
    <w:p w:rsidR="00647F01" w:rsidRDefault="00647F01" w:rsidP="002E6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323193"/>
      <w:docPartObj>
        <w:docPartGallery w:val="Page Numbers (Bottom of Page)"/>
        <w:docPartUnique/>
      </w:docPartObj>
    </w:sdtPr>
    <w:sdtEndPr>
      <w:rPr>
        <w:noProof/>
        <w:sz w:val="20"/>
        <w:szCs w:val="20"/>
      </w:rPr>
    </w:sdtEndPr>
    <w:sdtContent>
      <w:p w:rsidR="00BF57A9" w:rsidRPr="00B36D22" w:rsidRDefault="00AB52E7">
        <w:pPr>
          <w:pStyle w:val="Bunntekst"/>
          <w:jc w:val="right"/>
          <w:rPr>
            <w:sz w:val="20"/>
            <w:szCs w:val="20"/>
          </w:rPr>
        </w:pPr>
        <w:r w:rsidRPr="00B36D22">
          <w:rPr>
            <w:sz w:val="20"/>
            <w:szCs w:val="20"/>
          </w:rPr>
          <w:fldChar w:fldCharType="begin"/>
        </w:r>
        <w:r w:rsidR="00BF57A9" w:rsidRPr="00B36D22">
          <w:rPr>
            <w:sz w:val="20"/>
            <w:szCs w:val="20"/>
          </w:rPr>
          <w:instrText xml:space="preserve"> PAGE   \* MERGEFORMAT </w:instrText>
        </w:r>
        <w:r w:rsidRPr="00B36D22">
          <w:rPr>
            <w:sz w:val="20"/>
            <w:szCs w:val="20"/>
          </w:rPr>
          <w:fldChar w:fldCharType="separate"/>
        </w:r>
        <w:r w:rsidR="00534435">
          <w:rPr>
            <w:noProof/>
            <w:sz w:val="20"/>
            <w:szCs w:val="20"/>
          </w:rPr>
          <w:t>1</w:t>
        </w:r>
        <w:r w:rsidRPr="00B36D22">
          <w:rPr>
            <w:noProof/>
            <w:sz w:val="20"/>
            <w:szCs w:val="20"/>
          </w:rPr>
          <w:fldChar w:fldCharType="end"/>
        </w:r>
      </w:p>
    </w:sdtContent>
  </w:sdt>
  <w:p w:rsidR="00BF57A9" w:rsidRDefault="00BF57A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01" w:rsidRDefault="00647F01" w:rsidP="002E6A9C">
      <w:pPr>
        <w:spacing w:after="0" w:line="240" w:lineRule="auto"/>
      </w:pPr>
      <w:r>
        <w:separator/>
      </w:r>
    </w:p>
  </w:footnote>
  <w:footnote w:type="continuationSeparator" w:id="0">
    <w:p w:rsidR="00647F01" w:rsidRDefault="00647F01" w:rsidP="002E6A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A9A" w:rsidRPr="00F75A9A" w:rsidRDefault="00F75A9A" w:rsidP="00F75A9A">
    <w:pPr>
      <w:pStyle w:val="Topptekst"/>
      <w:pBdr>
        <w:bottom w:val="single" w:sz="4" w:space="1" w:color="auto"/>
      </w:pBdr>
      <w:rPr>
        <w:rFonts w:ascii="Segoe UI" w:hAnsi="Segoe UI" w:cs="Segoe UI"/>
        <w:sz w:val="16"/>
        <w:szCs w:val="16"/>
      </w:rPr>
    </w:pPr>
    <w:r w:rsidRPr="00F75A9A">
      <w:rPr>
        <w:rFonts w:ascii="Segoe UI" w:hAnsi="Segoe UI" w:cs="Segoe UI"/>
        <w:bCs/>
        <w:sz w:val="16"/>
        <w:szCs w:val="16"/>
      </w:rPr>
      <w:t xml:space="preserve">Citation: </w:t>
    </w:r>
    <w:r w:rsidRPr="00F75A9A">
      <w:rPr>
        <w:rFonts w:ascii="Segoe UI" w:hAnsi="Segoe UI" w:cs="Segoe UI"/>
        <w:bCs/>
        <w:i/>
        <w:sz w:val="16"/>
        <w:szCs w:val="16"/>
      </w:rPr>
      <w:t xml:space="preserve">Lancet Diabetes Endocrinol 2013. </w:t>
    </w:r>
    <w:r w:rsidRPr="00F75A9A">
      <w:rPr>
        <w:rFonts w:ascii="Segoe UI" w:hAnsi="Segoe UI" w:cs="Segoe UI"/>
        <w:bCs/>
        <w:sz w:val="16"/>
        <w:szCs w:val="16"/>
      </w:rPr>
      <w:t xml:space="preserve">Published Online December 23, 2013. </w:t>
    </w:r>
    <w:r w:rsidRPr="00F75A9A">
      <w:rPr>
        <w:rFonts w:ascii="Segoe UI" w:hAnsi="Segoe UI" w:cs="Segoe UI"/>
        <w:bCs/>
        <w:sz w:val="16"/>
        <w:szCs w:val="16"/>
      </w:rPr>
      <w:br/>
      <w:t>http://dx.doi.org/10.1016/S2213-8587(13)70191-8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D25"/>
    <w:multiLevelType w:val="hybridMultilevel"/>
    <w:tmpl w:val="84D669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ED1F70"/>
    <w:multiLevelType w:val="hybridMultilevel"/>
    <w:tmpl w:val="9680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3A43DD"/>
    <w:multiLevelType w:val="hybridMultilevel"/>
    <w:tmpl w:val="5E58AE18"/>
    <w:lvl w:ilvl="0" w:tplc="AA2A8394">
      <w:start w:val="5"/>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5F00621"/>
    <w:multiLevelType w:val="hybridMultilevel"/>
    <w:tmpl w:val="B83C4F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811B2C"/>
    <w:multiLevelType w:val="hybridMultilevel"/>
    <w:tmpl w:val="588A401C"/>
    <w:lvl w:ilvl="0" w:tplc="9934D234">
      <w:start w:val="1"/>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020024"/>
    <w:multiLevelType w:val="hybridMultilevel"/>
    <w:tmpl w:val="E48C70B6"/>
    <w:lvl w:ilvl="0" w:tplc="E58EF72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D06DEC"/>
    <w:multiLevelType w:val="hybridMultilevel"/>
    <w:tmpl w:val="70D6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DD1CBB"/>
    <w:multiLevelType w:val="hybridMultilevel"/>
    <w:tmpl w:val="C0889CE6"/>
    <w:lvl w:ilvl="0" w:tplc="9934D234">
      <w:start w:val="1"/>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583C40"/>
    <w:multiLevelType w:val="hybridMultilevel"/>
    <w:tmpl w:val="1650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036ED2"/>
    <w:multiLevelType w:val="hybridMultilevel"/>
    <w:tmpl w:val="5C9C5868"/>
    <w:lvl w:ilvl="0" w:tplc="85185C86">
      <w:numFmt w:val="bullet"/>
      <w:lvlText w:val=""/>
      <w:lvlJc w:val="left"/>
      <w:pPr>
        <w:ind w:left="720" w:hanging="360"/>
      </w:pPr>
      <w:rPr>
        <w:rFonts w:ascii="Symbol" w:eastAsia="Times New Roman"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3"/>
  </w:num>
  <w:num w:numId="6">
    <w:abstractNumId w:val="0"/>
  </w:num>
  <w:num w:numId="7">
    <w:abstractNumId w:val="7"/>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dQk9sQiUHXeJb/e+tEHfdxmlE4=" w:salt="lOYhJuAKpl+GNgNCduO0zA=="/>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Layout" w:val="&lt;ENLayout&gt;&lt;Style&gt;Current Atherosclerosis Repor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AS.enl&lt;/item&gt;&lt;/Libraries&gt;&lt;/ENLibraries&gt;"/>
  </w:docVars>
  <w:rsids>
    <w:rsidRoot w:val="00952539"/>
    <w:rsid w:val="000022E4"/>
    <w:rsid w:val="00004737"/>
    <w:rsid w:val="00005550"/>
    <w:rsid w:val="00006AC6"/>
    <w:rsid w:val="00007A2E"/>
    <w:rsid w:val="00007B22"/>
    <w:rsid w:val="000119E6"/>
    <w:rsid w:val="00013A33"/>
    <w:rsid w:val="00014004"/>
    <w:rsid w:val="0001617D"/>
    <w:rsid w:val="00022127"/>
    <w:rsid w:val="000352DE"/>
    <w:rsid w:val="00040460"/>
    <w:rsid w:val="000413AD"/>
    <w:rsid w:val="00041552"/>
    <w:rsid w:val="00042FFC"/>
    <w:rsid w:val="00043E4F"/>
    <w:rsid w:val="000520AC"/>
    <w:rsid w:val="00054B82"/>
    <w:rsid w:val="0005760B"/>
    <w:rsid w:val="00057F55"/>
    <w:rsid w:val="00060C6C"/>
    <w:rsid w:val="000613BA"/>
    <w:rsid w:val="00062427"/>
    <w:rsid w:val="00065F12"/>
    <w:rsid w:val="00066F96"/>
    <w:rsid w:val="000707DE"/>
    <w:rsid w:val="000708D4"/>
    <w:rsid w:val="00071041"/>
    <w:rsid w:val="000712D1"/>
    <w:rsid w:val="00075E5C"/>
    <w:rsid w:val="00076EBA"/>
    <w:rsid w:val="00080FD6"/>
    <w:rsid w:val="000851EE"/>
    <w:rsid w:val="00091107"/>
    <w:rsid w:val="00094D8B"/>
    <w:rsid w:val="00094F58"/>
    <w:rsid w:val="000A02F9"/>
    <w:rsid w:val="000A2891"/>
    <w:rsid w:val="000A3F3C"/>
    <w:rsid w:val="000A6D28"/>
    <w:rsid w:val="000B6752"/>
    <w:rsid w:val="000C0331"/>
    <w:rsid w:val="000C1363"/>
    <w:rsid w:val="000C1FCC"/>
    <w:rsid w:val="000C443B"/>
    <w:rsid w:val="000C7D07"/>
    <w:rsid w:val="000D0148"/>
    <w:rsid w:val="000D1C47"/>
    <w:rsid w:val="000D2259"/>
    <w:rsid w:val="000D42A8"/>
    <w:rsid w:val="000D606C"/>
    <w:rsid w:val="000E4FDE"/>
    <w:rsid w:val="000E5B71"/>
    <w:rsid w:val="000F02B1"/>
    <w:rsid w:val="000F0981"/>
    <w:rsid w:val="000F2545"/>
    <w:rsid w:val="000F2A83"/>
    <w:rsid w:val="000F4574"/>
    <w:rsid w:val="001010C1"/>
    <w:rsid w:val="001101C4"/>
    <w:rsid w:val="00112F50"/>
    <w:rsid w:val="00115C16"/>
    <w:rsid w:val="00117357"/>
    <w:rsid w:val="0012121A"/>
    <w:rsid w:val="00121D59"/>
    <w:rsid w:val="0012214C"/>
    <w:rsid w:val="001257A2"/>
    <w:rsid w:val="00125F17"/>
    <w:rsid w:val="00127506"/>
    <w:rsid w:val="00127E82"/>
    <w:rsid w:val="00133EC9"/>
    <w:rsid w:val="001366CF"/>
    <w:rsid w:val="00143B86"/>
    <w:rsid w:val="001514ED"/>
    <w:rsid w:val="00157135"/>
    <w:rsid w:val="00163B0C"/>
    <w:rsid w:val="00164043"/>
    <w:rsid w:val="00166A9B"/>
    <w:rsid w:val="00166D42"/>
    <w:rsid w:val="00172FFF"/>
    <w:rsid w:val="00173214"/>
    <w:rsid w:val="00177AB0"/>
    <w:rsid w:val="001804FB"/>
    <w:rsid w:val="00183CFC"/>
    <w:rsid w:val="001855F6"/>
    <w:rsid w:val="00191AAA"/>
    <w:rsid w:val="00193F4A"/>
    <w:rsid w:val="00194638"/>
    <w:rsid w:val="001A2E18"/>
    <w:rsid w:val="001A605D"/>
    <w:rsid w:val="001A7C81"/>
    <w:rsid w:val="001B613F"/>
    <w:rsid w:val="001B79C7"/>
    <w:rsid w:val="001C0920"/>
    <w:rsid w:val="001D0426"/>
    <w:rsid w:val="001D324B"/>
    <w:rsid w:val="001D64B5"/>
    <w:rsid w:val="001E0A57"/>
    <w:rsid w:val="001E1D15"/>
    <w:rsid w:val="001E719F"/>
    <w:rsid w:val="001E750A"/>
    <w:rsid w:val="001F6DBD"/>
    <w:rsid w:val="001F7082"/>
    <w:rsid w:val="00202563"/>
    <w:rsid w:val="0020292E"/>
    <w:rsid w:val="0020556D"/>
    <w:rsid w:val="00207387"/>
    <w:rsid w:val="002126BB"/>
    <w:rsid w:val="00214CA5"/>
    <w:rsid w:val="0021701F"/>
    <w:rsid w:val="00217100"/>
    <w:rsid w:val="0022072E"/>
    <w:rsid w:val="00225E73"/>
    <w:rsid w:val="0022785B"/>
    <w:rsid w:val="00231195"/>
    <w:rsid w:val="002375DE"/>
    <w:rsid w:val="0024313B"/>
    <w:rsid w:val="00243D7A"/>
    <w:rsid w:val="00244A83"/>
    <w:rsid w:val="00250BD4"/>
    <w:rsid w:val="00251E51"/>
    <w:rsid w:val="00254921"/>
    <w:rsid w:val="00255A50"/>
    <w:rsid w:val="002609B9"/>
    <w:rsid w:val="00262636"/>
    <w:rsid w:val="00262827"/>
    <w:rsid w:val="002700AA"/>
    <w:rsid w:val="002710E8"/>
    <w:rsid w:val="00274335"/>
    <w:rsid w:val="00281F57"/>
    <w:rsid w:val="0028637F"/>
    <w:rsid w:val="0028696E"/>
    <w:rsid w:val="002875FA"/>
    <w:rsid w:val="002A1147"/>
    <w:rsid w:val="002A4878"/>
    <w:rsid w:val="002B0FE2"/>
    <w:rsid w:val="002B2EDA"/>
    <w:rsid w:val="002B30E7"/>
    <w:rsid w:val="002B3830"/>
    <w:rsid w:val="002C32B0"/>
    <w:rsid w:val="002C33E3"/>
    <w:rsid w:val="002C4DE0"/>
    <w:rsid w:val="002C62DA"/>
    <w:rsid w:val="002D0F2D"/>
    <w:rsid w:val="002D1A79"/>
    <w:rsid w:val="002D2A86"/>
    <w:rsid w:val="002D2FC5"/>
    <w:rsid w:val="002D7BC8"/>
    <w:rsid w:val="002E1AC4"/>
    <w:rsid w:val="002E4CD1"/>
    <w:rsid w:val="002E6424"/>
    <w:rsid w:val="002E6A9C"/>
    <w:rsid w:val="002F17CF"/>
    <w:rsid w:val="002F28FD"/>
    <w:rsid w:val="002F2D6D"/>
    <w:rsid w:val="002F5D1B"/>
    <w:rsid w:val="00304CC6"/>
    <w:rsid w:val="003074E2"/>
    <w:rsid w:val="00307D39"/>
    <w:rsid w:val="003177C1"/>
    <w:rsid w:val="00320929"/>
    <w:rsid w:val="003215BF"/>
    <w:rsid w:val="00321E55"/>
    <w:rsid w:val="0032716B"/>
    <w:rsid w:val="00327A56"/>
    <w:rsid w:val="00330113"/>
    <w:rsid w:val="0033249B"/>
    <w:rsid w:val="00333780"/>
    <w:rsid w:val="00334544"/>
    <w:rsid w:val="0034025A"/>
    <w:rsid w:val="00340DDF"/>
    <w:rsid w:val="0034297E"/>
    <w:rsid w:val="0034354B"/>
    <w:rsid w:val="00343BDD"/>
    <w:rsid w:val="003521B1"/>
    <w:rsid w:val="0035272C"/>
    <w:rsid w:val="0035594B"/>
    <w:rsid w:val="00355995"/>
    <w:rsid w:val="00366467"/>
    <w:rsid w:val="003665E0"/>
    <w:rsid w:val="00370442"/>
    <w:rsid w:val="00370FD3"/>
    <w:rsid w:val="003715D4"/>
    <w:rsid w:val="00381E1E"/>
    <w:rsid w:val="00382C7B"/>
    <w:rsid w:val="00387A01"/>
    <w:rsid w:val="00390B30"/>
    <w:rsid w:val="003920FB"/>
    <w:rsid w:val="00395857"/>
    <w:rsid w:val="003A0056"/>
    <w:rsid w:val="003A3A29"/>
    <w:rsid w:val="003A571B"/>
    <w:rsid w:val="003A5A9B"/>
    <w:rsid w:val="003A5B91"/>
    <w:rsid w:val="003A6A2C"/>
    <w:rsid w:val="003A6EA5"/>
    <w:rsid w:val="003B0C82"/>
    <w:rsid w:val="003B1596"/>
    <w:rsid w:val="003B55A8"/>
    <w:rsid w:val="003C00C5"/>
    <w:rsid w:val="003C1DF8"/>
    <w:rsid w:val="003C29D6"/>
    <w:rsid w:val="003C3E13"/>
    <w:rsid w:val="003C68D7"/>
    <w:rsid w:val="003D1FFC"/>
    <w:rsid w:val="003D2306"/>
    <w:rsid w:val="003D58FD"/>
    <w:rsid w:val="003D5EDC"/>
    <w:rsid w:val="003E0357"/>
    <w:rsid w:val="003E16B6"/>
    <w:rsid w:val="003E1B78"/>
    <w:rsid w:val="003E7C6A"/>
    <w:rsid w:val="003E7D45"/>
    <w:rsid w:val="003E7F3C"/>
    <w:rsid w:val="003F023B"/>
    <w:rsid w:val="003F196E"/>
    <w:rsid w:val="003F3CE5"/>
    <w:rsid w:val="003F5C35"/>
    <w:rsid w:val="00404E5F"/>
    <w:rsid w:val="00405278"/>
    <w:rsid w:val="004059E2"/>
    <w:rsid w:val="00407A5D"/>
    <w:rsid w:val="00410AC4"/>
    <w:rsid w:val="00413D13"/>
    <w:rsid w:val="004161AB"/>
    <w:rsid w:val="004248F4"/>
    <w:rsid w:val="00425AF1"/>
    <w:rsid w:val="00426B08"/>
    <w:rsid w:val="00431336"/>
    <w:rsid w:val="00432CEA"/>
    <w:rsid w:val="00435381"/>
    <w:rsid w:val="0044573C"/>
    <w:rsid w:val="0044650C"/>
    <w:rsid w:val="00450078"/>
    <w:rsid w:val="004508BA"/>
    <w:rsid w:val="00453648"/>
    <w:rsid w:val="00455884"/>
    <w:rsid w:val="004605A6"/>
    <w:rsid w:val="004626FB"/>
    <w:rsid w:val="004629FF"/>
    <w:rsid w:val="00464D34"/>
    <w:rsid w:val="004672A8"/>
    <w:rsid w:val="004676A7"/>
    <w:rsid w:val="00470B9E"/>
    <w:rsid w:val="004830CF"/>
    <w:rsid w:val="00485E40"/>
    <w:rsid w:val="00490F3E"/>
    <w:rsid w:val="00497399"/>
    <w:rsid w:val="004A015B"/>
    <w:rsid w:val="004A1A9E"/>
    <w:rsid w:val="004A59E2"/>
    <w:rsid w:val="004A628A"/>
    <w:rsid w:val="004B1297"/>
    <w:rsid w:val="004B25C8"/>
    <w:rsid w:val="004B30D0"/>
    <w:rsid w:val="004B3375"/>
    <w:rsid w:val="004B3BFB"/>
    <w:rsid w:val="004C072C"/>
    <w:rsid w:val="004C36FF"/>
    <w:rsid w:val="004C4DF6"/>
    <w:rsid w:val="004C583F"/>
    <w:rsid w:val="004C5F80"/>
    <w:rsid w:val="004D2E92"/>
    <w:rsid w:val="004D3E54"/>
    <w:rsid w:val="004D50D1"/>
    <w:rsid w:val="004E2B5F"/>
    <w:rsid w:val="004E45B2"/>
    <w:rsid w:val="004E503D"/>
    <w:rsid w:val="004E62B6"/>
    <w:rsid w:val="004E6899"/>
    <w:rsid w:val="004F2664"/>
    <w:rsid w:val="004F38FE"/>
    <w:rsid w:val="004F6735"/>
    <w:rsid w:val="00501E12"/>
    <w:rsid w:val="00502F41"/>
    <w:rsid w:val="00510232"/>
    <w:rsid w:val="005103D4"/>
    <w:rsid w:val="005104A6"/>
    <w:rsid w:val="00513BBB"/>
    <w:rsid w:val="00517341"/>
    <w:rsid w:val="00520B33"/>
    <w:rsid w:val="00521324"/>
    <w:rsid w:val="00521A3A"/>
    <w:rsid w:val="00525890"/>
    <w:rsid w:val="005266B6"/>
    <w:rsid w:val="005301EA"/>
    <w:rsid w:val="00534435"/>
    <w:rsid w:val="005349BF"/>
    <w:rsid w:val="005351AE"/>
    <w:rsid w:val="0053524F"/>
    <w:rsid w:val="005353F9"/>
    <w:rsid w:val="005372B1"/>
    <w:rsid w:val="00540343"/>
    <w:rsid w:val="00541C5D"/>
    <w:rsid w:val="00543476"/>
    <w:rsid w:val="00543529"/>
    <w:rsid w:val="0054379A"/>
    <w:rsid w:val="00543C8F"/>
    <w:rsid w:val="00544035"/>
    <w:rsid w:val="0054684B"/>
    <w:rsid w:val="00555DB7"/>
    <w:rsid w:val="00561AF3"/>
    <w:rsid w:val="00561CFB"/>
    <w:rsid w:val="00562259"/>
    <w:rsid w:val="00563472"/>
    <w:rsid w:val="00564242"/>
    <w:rsid w:val="00571EFF"/>
    <w:rsid w:val="00572312"/>
    <w:rsid w:val="00574521"/>
    <w:rsid w:val="00575D67"/>
    <w:rsid w:val="00577256"/>
    <w:rsid w:val="00582BE6"/>
    <w:rsid w:val="00583815"/>
    <w:rsid w:val="00590081"/>
    <w:rsid w:val="005917DE"/>
    <w:rsid w:val="00592D15"/>
    <w:rsid w:val="00593A86"/>
    <w:rsid w:val="0059607B"/>
    <w:rsid w:val="00596F34"/>
    <w:rsid w:val="00597640"/>
    <w:rsid w:val="00597E05"/>
    <w:rsid w:val="005A0941"/>
    <w:rsid w:val="005A2BD4"/>
    <w:rsid w:val="005A5F5E"/>
    <w:rsid w:val="005A6574"/>
    <w:rsid w:val="005B0917"/>
    <w:rsid w:val="005B60D5"/>
    <w:rsid w:val="005C15EF"/>
    <w:rsid w:val="005C552D"/>
    <w:rsid w:val="005C5E23"/>
    <w:rsid w:val="005C6684"/>
    <w:rsid w:val="005C66BE"/>
    <w:rsid w:val="005E24A3"/>
    <w:rsid w:val="005E2D4F"/>
    <w:rsid w:val="005E4991"/>
    <w:rsid w:val="005F634D"/>
    <w:rsid w:val="00602894"/>
    <w:rsid w:val="00602AB9"/>
    <w:rsid w:val="00604EB7"/>
    <w:rsid w:val="00611704"/>
    <w:rsid w:val="0061437E"/>
    <w:rsid w:val="00622FF2"/>
    <w:rsid w:val="006260C5"/>
    <w:rsid w:val="00635CFC"/>
    <w:rsid w:val="00647F01"/>
    <w:rsid w:val="00650093"/>
    <w:rsid w:val="00651B3A"/>
    <w:rsid w:val="00651E34"/>
    <w:rsid w:val="00652DAE"/>
    <w:rsid w:val="00654A8C"/>
    <w:rsid w:val="00655D41"/>
    <w:rsid w:val="00657D81"/>
    <w:rsid w:val="0066266B"/>
    <w:rsid w:val="00662E3D"/>
    <w:rsid w:val="0066380C"/>
    <w:rsid w:val="006644B7"/>
    <w:rsid w:val="00672184"/>
    <w:rsid w:val="00673403"/>
    <w:rsid w:val="006735E6"/>
    <w:rsid w:val="00674737"/>
    <w:rsid w:val="00676CF1"/>
    <w:rsid w:val="00676D76"/>
    <w:rsid w:val="00677871"/>
    <w:rsid w:val="0068022C"/>
    <w:rsid w:val="00686151"/>
    <w:rsid w:val="00686356"/>
    <w:rsid w:val="006879DD"/>
    <w:rsid w:val="00687CC9"/>
    <w:rsid w:val="00691472"/>
    <w:rsid w:val="006919D2"/>
    <w:rsid w:val="00692B08"/>
    <w:rsid w:val="00692FCD"/>
    <w:rsid w:val="00695D74"/>
    <w:rsid w:val="006A2051"/>
    <w:rsid w:val="006A3E25"/>
    <w:rsid w:val="006A5567"/>
    <w:rsid w:val="006B07AA"/>
    <w:rsid w:val="006B0EB2"/>
    <w:rsid w:val="006B4CE1"/>
    <w:rsid w:val="006B548D"/>
    <w:rsid w:val="006C13EB"/>
    <w:rsid w:val="006C40DA"/>
    <w:rsid w:val="006C6D7A"/>
    <w:rsid w:val="006C7E9F"/>
    <w:rsid w:val="006D0A68"/>
    <w:rsid w:val="006D52E0"/>
    <w:rsid w:val="006D784E"/>
    <w:rsid w:val="006D7A43"/>
    <w:rsid w:val="006E1179"/>
    <w:rsid w:val="006E7DAC"/>
    <w:rsid w:val="006E7E2D"/>
    <w:rsid w:val="006F1C68"/>
    <w:rsid w:val="006F2ED8"/>
    <w:rsid w:val="006F38C9"/>
    <w:rsid w:val="006F6591"/>
    <w:rsid w:val="006F735D"/>
    <w:rsid w:val="00700999"/>
    <w:rsid w:val="007021B7"/>
    <w:rsid w:val="0070525A"/>
    <w:rsid w:val="007061D0"/>
    <w:rsid w:val="007110C2"/>
    <w:rsid w:val="007119A2"/>
    <w:rsid w:val="00712C7D"/>
    <w:rsid w:val="007246A0"/>
    <w:rsid w:val="0072747F"/>
    <w:rsid w:val="00730572"/>
    <w:rsid w:val="007308F8"/>
    <w:rsid w:val="007324C1"/>
    <w:rsid w:val="00733AA9"/>
    <w:rsid w:val="0073425E"/>
    <w:rsid w:val="00737CF6"/>
    <w:rsid w:val="00741947"/>
    <w:rsid w:val="00744B61"/>
    <w:rsid w:val="00746514"/>
    <w:rsid w:val="0074665D"/>
    <w:rsid w:val="007474BF"/>
    <w:rsid w:val="00753CC0"/>
    <w:rsid w:val="00754E84"/>
    <w:rsid w:val="00757660"/>
    <w:rsid w:val="007601D3"/>
    <w:rsid w:val="00760301"/>
    <w:rsid w:val="007635D2"/>
    <w:rsid w:val="00766456"/>
    <w:rsid w:val="00775B94"/>
    <w:rsid w:val="007818A2"/>
    <w:rsid w:val="00784A7F"/>
    <w:rsid w:val="00790644"/>
    <w:rsid w:val="00793077"/>
    <w:rsid w:val="007975BC"/>
    <w:rsid w:val="00797B7D"/>
    <w:rsid w:val="007A10C2"/>
    <w:rsid w:val="007A1C77"/>
    <w:rsid w:val="007A44B9"/>
    <w:rsid w:val="007A5220"/>
    <w:rsid w:val="007A57FA"/>
    <w:rsid w:val="007A5E3B"/>
    <w:rsid w:val="007B1479"/>
    <w:rsid w:val="007B38F3"/>
    <w:rsid w:val="007B6FCA"/>
    <w:rsid w:val="007C2BBC"/>
    <w:rsid w:val="007C32F1"/>
    <w:rsid w:val="007C3D4A"/>
    <w:rsid w:val="007D25FD"/>
    <w:rsid w:val="007D2A77"/>
    <w:rsid w:val="007D34BD"/>
    <w:rsid w:val="007D3B4C"/>
    <w:rsid w:val="007D4FF6"/>
    <w:rsid w:val="007D53E5"/>
    <w:rsid w:val="007D6F99"/>
    <w:rsid w:val="007D726B"/>
    <w:rsid w:val="0080010A"/>
    <w:rsid w:val="00801334"/>
    <w:rsid w:val="00804A32"/>
    <w:rsid w:val="00805506"/>
    <w:rsid w:val="00811F8B"/>
    <w:rsid w:val="0081484E"/>
    <w:rsid w:val="008148C8"/>
    <w:rsid w:val="00815104"/>
    <w:rsid w:val="00815DA6"/>
    <w:rsid w:val="00816675"/>
    <w:rsid w:val="00821183"/>
    <w:rsid w:val="00821225"/>
    <w:rsid w:val="00821ADE"/>
    <w:rsid w:val="00822FBD"/>
    <w:rsid w:val="0082585D"/>
    <w:rsid w:val="00827533"/>
    <w:rsid w:val="00836121"/>
    <w:rsid w:val="008419B7"/>
    <w:rsid w:val="00841CE9"/>
    <w:rsid w:val="00842524"/>
    <w:rsid w:val="00842D5D"/>
    <w:rsid w:val="0084363E"/>
    <w:rsid w:val="00844A73"/>
    <w:rsid w:val="008469F6"/>
    <w:rsid w:val="008506D4"/>
    <w:rsid w:val="0085425C"/>
    <w:rsid w:val="00854E8C"/>
    <w:rsid w:val="008562FB"/>
    <w:rsid w:val="0086367E"/>
    <w:rsid w:val="008652C5"/>
    <w:rsid w:val="00865BBB"/>
    <w:rsid w:val="008734B5"/>
    <w:rsid w:val="00881691"/>
    <w:rsid w:val="0088201E"/>
    <w:rsid w:val="008852BD"/>
    <w:rsid w:val="00892EF4"/>
    <w:rsid w:val="00896E35"/>
    <w:rsid w:val="00896E71"/>
    <w:rsid w:val="00896EF7"/>
    <w:rsid w:val="008A10D1"/>
    <w:rsid w:val="008A1E08"/>
    <w:rsid w:val="008A42B8"/>
    <w:rsid w:val="008A5B7E"/>
    <w:rsid w:val="008B095D"/>
    <w:rsid w:val="008B0F09"/>
    <w:rsid w:val="008C3F10"/>
    <w:rsid w:val="008C6103"/>
    <w:rsid w:val="008C633D"/>
    <w:rsid w:val="008D0DBE"/>
    <w:rsid w:val="008D149B"/>
    <w:rsid w:val="008D23C0"/>
    <w:rsid w:val="008D5AC6"/>
    <w:rsid w:val="008E32FC"/>
    <w:rsid w:val="008E3D83"/>
    <w:rsid w:val="008E3FD0"/>
    <w:rsid w:val="008E4798"/>
    <w:rsid w:val="008E4E10"/>
    <w:rsid w:val="008E59F5"/>
    <w:rsid w:val="008F3FF6"/>
    <w:rsid w:val="008F512A"/>
    <w:rsid w:val="0090118B"/>
    <w:rsid w:val="00905E47"/>
    <w:rsid w:val="00906248"/>
    <w:rsid w:val="00912D39"/>
    <w:rsid w:val="00915874"/>
    <w:rsid w:val="00915B97"/>
    <w:rsid w:val="00920735"/>
    <w:rsid w:val="0092379A"/>
    <w:rsid w:val="0092454E"/>
    <w:rsid w:val="00931411"/>
    <w:rsid w:val="00932EA1"/>
    <w:rsid w:val="00936359"/>
    <w:rsid w:val="00942B03"/>
    <w:rsid w:val="0094324A"/>
    <w:rsid w:val="00943B7D"/>
    <w:rsid w:val="00945201"/>
    <w:rsid w:val="00946C9C"/>
    <w:rsid w:val="009473A7"/>
    <w:rsid w:val="009510D4"/>
    <w:rsid w:val="00952539"/>
    <w:rsid w:val="009576A1"/>
    <w:rsid w:val="009603F4"/>
    <w:rsid w:val="00961343"/>
    <w:rsid w:val="0096274A"/>
    <w:rsid w:val="00965416"/>
    <w:rsid w:val="009700AC"/>
    <w:rsid w:val="00974266"/>
    <w:rsid w:val="0098230E"/>
    <w:rsid w:val="009869B8"/>
    <w:rsid w:val="009874C4"/>
    <w:rsid w:val="00990A4C"/>
    <w:rsid w:val="00991160"/>
    <w:rsid w:val="00991B4E"/>
    <w:rsid w:val="0099696F"/>
    <w:rsid w:val="00997914"/>
    <w:rsid w:val="00997DBF"/>
    <w:rsid w:val="009A3B8D"/>
    <w:rsid w:val="009A5415"/>
    <w:rsid w:val="009B4BB3"/>
    <w:rsid w:val="009B5940"/>
    <w:rsid w:val="009B651E"/>
    <w:rsid w:val="009B6815"/>
    <w:rsid w:val="009C12EC"/>
    <w:rsid w:val="009C1E9A"/>
    <w:rsid w:val="009C2D0F"/>
    <w:rsid w:val="009C3D76"/>
    <w:rsid w:val="009C3E6C"/>
    <w:rsid w:val="009D3619"/>
    <w:rsid w:val="009D58FE"/>
    <w:rsid w:val="009D5AB0"/>
    <w:rsid w:val="009E3648"/>
    <w:rsid w:val="009E3E53"/>
    <w:rsid w:val="009E43F8"/>
    <w:rsid w:val="009E4526"/>
    <w:rsid w:val="009E775F"/>
    <w:rsid w:val="009F3B1A"/>
    <w:rsid w:val="009F3ED6"/>
    <w:rsid w:val="009F6B6B"/>
    <w:rsid w:val="00A06EC8"/>
    <w:rsid w:val="00A154C5"/>
    <w:rsid w:val="00A22EC2"/>
    <w:rsid w:val="00A25473"/>
    <w:rsid w:val="00A25FE8"/>
    <w:rsid w:val="00A270CC"/>
    <w:rsid w:val="00A304BD"/>
    <w:rsid w:val="00A30E54"/>
    <w:rsid w:val="00A32A30"/>
    <w:rsid w:val="00A35E67"/>
    <w:rsid w:val="00A35E6B"/>
    <w:rsid w:val="00A40B7C"/>
    <w:rsid w:val="00A42380"/>
    <w:rsid w:val="00A43C92"/>
    <w:rsid w:val="00A45ED3"/>
    <w:rsid w:val="00A52316"/>
    <w:rsid w:val="00A54DCA"/>
    <w:rsid w:val="00A55B7B"/>
    <w:rsid w:val="00A57D0A"/>
    <w:rsid w:val="00A6789E"/>
    <w:rsid w:val="00A70A16"/>
    <w:rsid w:val="00A77205"/>
    <w:rsid w:val="00A80043"/>
    <w:rsid w:val="00A807F9"/>
    <w:rsid w:val="00A80E69"/>
    <w:rsid w:val="00A830F1"/>
    <w:rsid w:val="00A846D5"/>
    <w:rsid w:val="00A90E31"/>
    <w:rsid w:val="00A96868"/>
    <w:rsid w:val="00AA0294"/>
    <w:rsid w:val="00AA40C1"/>
    <w:rsid w:val="00AB52E7"/>
    <w:rsid w:val="00AB54AA"/>
    <w:rsid w:val="00AB54F2"/>
    <w:rsid w:val="00AC012C"/>
    <w:rsid w:val="00AC2A39"/>
    <w:rsid w:val="00AC3375"/>
    <w:rsid w:val="00AC4A32"/>
    <w:rsid w:val="00AC781A"/>
    <w:rsid w:val="00AD030A"/>
    <w:rsid w:val="00AD2351"/>
    <w:rsid w:val="00AD717F"/>
    <w:rsid w:val="00AD7B6F"/>
    <w:rsid w:val="00AE4EDB"/>
    <w:rsid w:val="00AE6720"/>
    <w:rsid w:val="00AE72A3"/>
    <w:rsid w:val="00AF02F8"/>
    <w:rsid w:val="00AF3C2C"/>
    <w:rsid w:val="00AF6694"/>
    <w:rsid w:val="00B11CFB"/>
    <w:rsid w:val="00B12C96"/>
    <w:rsid w:val="00B12ED5"/>
    <w:rsid w:val="00B16711"/>
    <w:rsid w:val="00B25BD4"/>
    <w:rsid w:val="00B271CB"/>
    <w:rsid w:val="00B305A0"/>
    <w:rsid w:val="00B30C96"/>
    <w:rsid w:val="00B31FC5"/>
    <w:rsid w:val="00B34649"/>
    <w:rsid w:val="00B36720"/>
    <w:rsid w:val="00B36D22"/>
    <w:rsid w:val="00B40D3E"/>
    <w:rsid w:val="00B41CF1"/>
    <w:rsid w:val="00B42A00"/>
    <w:rsid w:val="00B43A71"/>
    <w:rsid w:val="00B472EE"/>
    <w:rsid w:val="00B47D77"/>
    <w:rsid w:val="00B50C49"/>
    <w:rsid w:val="00B51E21"/>
    <w:rsid w:val="00B544E5"/>
    <w:rsid w:val="00B60B3A"/>
    <w:rsid w:val="00B61885"/>
    <w:rsid w:val="00B61E29"/>
    <w:rsid w:val="00B63D00"/>
    <w:rsid w:val="00B65768"/>
    <w:rsid w:val="00B70CD0"/>
    <w:rsid w:val="00B72C87"/>
    <w:rsid w:val="00B764BF"/>
    <w:rsid w:val="00B8401B"/>
    <w:rsid w:val="00B874A8"/>
    <w:rsid w:val="00B91014"/>
    <w:rsid w:val="00B91E4F"/>
    <w:rsid w:val="00B952BD"/>
    <w:rsid w:val="00BA0C74"/>
    <w:rsid w:val="00BA314C"/>
    <w:rsid w:val="00BA43D9"/>
    <w:rsid w:val="00BA4946"/>
    <w:rsid w:val="00BA5229"/>
    <w:rsid w:val="00BA532A"/>
    <w:rsid w:val="00BA60EF"/>
    <w:rsid w:val="00BA6375"/>
    <w:rsid w:val="00BA7AE2"/>
    <w:rsid w:val="00BB0CBF"/>
    <w:rsid w:val="00BB7B71"/>
    <w:rsid w:val="00BC15C3"/>
    <w:rsid w:val="00BC6FDC"/>
    <w:rsid w:val="00BC74DE"/>
    <w:rsid w:val="00BD4574"/>
    <w:rsid w:val="00BD51E7"/>
    <w:rsid w:val="00BE2963"/>
    <w:rsid w:val="00BE3823"/>
    <w:rsid w:val="00BE4A59"/>
    <w:rsid w:val="00BE7543"/>
    <w:rsid w:val="00BF52E7"/>
    <w:rsid w:val="00BF57A9"/>
    <w:rsid w:val="00C003D3"/>
    <w:rsid w:val="00C00A30"/>
    <w:rsid w:val="00C01CEE"/>
    <w:rsid w:val="00C0566F"/>
    <w:rsid w:val="00C1770A"/>
    <w:rsid w:val="00C21254"/>
    <w:rsid w:val="00C24343"/>
    <w:rsid w:val="00C33AA8"/>
    <w:rsid w:val="00C36848"/>
    <w:rsid w:val="00C37768"/>
    <w:rsid w:val="00C37E9B"/>
    <w:rsid w:val="00C4489D"/>
    <w:rsid w:val="00C47B1A"/>
    <w:rsid w:val="00C56CBC"/>
    <w:rsid w:val="00C57953"/>
    <w:rsid w:val="00C62CD8"/>
    <w:rsid w:val="00C62D10"/>
    <w:rsid w:val="00C6306D"/>
    <w:rsid w:val="00C67204"/>
    <w:rsid w:val="00C70E39"/>
    <w:rsid w:val="00C7454D"/>
    <w:rsid w:val="00C75DE2"/>
    <w:rsid w:val="00C76DE2"/>
    <w:rsid w:val="00C77ADD"/>
    <w:rsid w:val="00C8017C"/>
    <w:rsid w:val="00C95F18"/>
    <w:rsid w:val="00CA0544"/>
    <w:rsid w:val="00CA27A0"/>
    <w:rsid w:val="00CA37FA"/>
    <w:rsid w:val="00CA44A3"/>
    <w:rsid w:val="00CA6487"/>
    <w:rsid w:val="00CA748E"/>
    <w:rsid w:val="00CB09CD"/>
    <w:rsid w:val="00CB3F9B"/>
    <w:rsid w:val="00CB4339"/>
    <w:rsid w:val="00CB70D8"/>
    <w:rsid w:val="00CC6DDF"/>
    <w:rsid w:val="00CD2C41"/>
    <w:rsid w:val="00CD6738"/>
    <w:rsid w:val="00CE23E2"/>
    <w:rsid w:val="00CE5694"/>
    <w:rsid w:val="00CF1075"/>
    <w:rsid w:val="00CF1A50"/>
    <w:rsid w:val="00CF3E5D"/>
    <w:rsid w:val="00CF48DC"/>
    <w:rsid w:val="00CF6578"/>
    <w:rsid w:val="00CF78D8"/>
    <w:rsid w:val="00D013D9"/>
    <w:rsid w:val="00D01BD3"/>
    <w:rsid w:val="00D04FC1"/>
    <w:rsid w:val="00D10481"/>
    <w:rsid w:val="00D105F8"/>
    <w:rsid w:val="00D10C26"/>
    <w:rsid w:val="00D12079"/>
    <w:rsid w:val="00D12D87"/>
    <w:rsid w:val="00D1686D"/>
    <w:rsid w:val="00D168D9"/>
    <w:rsid w:val="00D21300"/>
    <w:rsid w:val="00D242A4"/>
    <w:rsid w:val="00D278D8"/>
    <w:rsid w:val="00D321DA"/>
    <w:rsid w:val="00D4130F"/>
    <w:rsid w:val="00D50CF7"/>
    <w:rsid w:val="00D50FF4"/>
    <w:rsid w:val="00D55F06"/>
    <w:rsid w:val="00D574F4"/>
    <w:rsid w:val="00D57FE7"/>
    <w:rsid w:val="00D6069D"/>
    <w:rsid w:val="00D6680E"/>
    <w:rsid w:val="00D72A6A"/>
    <w:rsid w:val="00D74310"/>
    <w:rsid w:val="00D74488"/>
    <w:rsid w:val="00D75D3D"/>
    <w:rsid w:val="00D75EEB"/>
    <w:rsid w:val="00D81E07"/>
    <w:rsid w:val="00D83CF4"/>
    <w:rsid w:val="00D83FDB"/>
    <w:rsid w:val="00D84AA1"/>
    <w:rsid w:val="00D856DE"/>
    <w:rsid w:val="00D930C0"/>
    <w:rsid w:val="00D9421A"/>
    <w:rsid w:val="00D948B1"/>
    <w:rsid w:val="00DA0A83"/>
    <w:rsid w:val="00DA47B8"/>
    <w:rsid w:val="00DA4C86"/>
    <w:rsid w:val="00DA565B"/>
    <w:rsid w:val="00DA7F3E"/>
    <w:rsid w:val="00DB0AAE"/>
    <w:rsid w:val="00DB0D1C"/>
    <w:rsid w:val="00DB1C0F"/>
    <w:rsid w:val="00DB3FB2"/>
    <w:rsid w:val="00DB4319"/>
    <w:rsid w:val="00DB6E95"/>
    <w:rsid w:val="00DB7487"/>
    <w:rsid w:val="00DC03E9"/>
    <w:rsid w:val="00DC0E8F"/>
    <w:rsid w:val="00DC2388"/>
    <w:rsid w:val="00DC269C"/>
    <w:rsid w:val="00DC3624"/>
    <w:rsid w:val="00DC607E"/>
    <w:rsid w:val="00DD060A"/>
    <w:rsid w:val="00DD4A34"/>
    <w:rsid w:val="00DD50A1"/>
    <w:rsid w:val="00DD6784"/>
    <w:rsid w:val="00DE09DC"/>
    <w:rsid w:val="00DF2419"/>
    <w:rsid w:val="00E03792"/>
    <w:rsid w:val="00E06FD6"/>
    <w:rsid w:val="00E07F7F"/>
    <w:rsid w:val="00E111C7"/>
    <w:rsid w:val="00E11ED7"/>
    <w:rsid w:val="00E126B3"/>
    <w:rsid w:val="00E12EE7"/>
    <w:rsid w:val="00E14850"/>
    <w:rsid w:val="00E1630F"/>
    <w:rsid w:val="00E22506"/>
    <w:rsid w:val="00E23D92"/>
    <w:rsid w:val="00E24509"/>
    <w:rsid w:val="00E24C5A"/>
    <w:rsid w:val="00E26378"/>
    <w:rsid w:val="00E27398"/>
    <w:rsid w:val="00E3167D"/>
    <w:rsid w:val="00E31A4E"/>
    <w:rsid w:val="00E31F3C"/>
    <w:rsid w:val="00E3341D"/>
    <w:rsid w:val="00E40323"/>
    <w:rsid w:val="00E44755"/>
    <w:rsid w:val="00E466DB"/>
    <w:rsid w:val="00E475C4"/>
    <w:rsid w:val="00E5669D"/>
    <w:rsid w:val="00E623CB"/>
    <w:rsid w:val="00E65063"/>
    <w:rsid w:val="00E71485"/>
    <w:rsid w:val="00E8076F"/>
    <w:rsid w:val="00E815DB"/>
    <w:rsid w:val="00E854AF"/>
    <w:rsid w:val="00E86D2D"/>
    <w:rsid w:val="00E87454"/>
    <w:rsid w:val="00E87494"/>
    <w:rsid w:val="00E92332"/>
    <w:rsid w:val="00E9431D"/>
    <w:rsid w:val="00EA32D7"/>
    <w:rsid w:val="00EA4C20"/>
    <w:rsid w:val="00EA66A6"/>
    <w:rsid w:val="00EA6C83"/>
    <w:rsid w:val="00EA7DA6"/>
    <w:rsid w:val="00EB01EE"/>
    <w:rsid w:val="00EB252E"/>
    <w:rsid w:val="00EB288E"/>
    <w:rsid w:val="00EB44C3"/>
    <w:rsid w:val="00EB4C38"/>
    <w:rsid w:val="00EB4DDC"/>
    <w:rsid w:val="00EC2E53"/>
    <w:rsid w:val="00EC3B78"/>
    <w:rsid w:val="00EC4156"/>
    <w:rsid w:val="00EC50A4"/>
    <w:rsid w:val="00EC776C"/>
    <w:rsid w:val="00EC7A5D"/>
    <w:rsid w:val="00ED00FF"/>
    <w:rsid w:val="00ED0597"/>
    <w:rsid w:val="00ED1EBD"/>
    <w:rsid w:val="00ED3EFD"/>
    <w:rsid w:val="00ED40BB"/>
    <w:rsid w:val="00EE2303"/>
    <w:rsid w:val="00EF1752"/>
    <w:rsid w:val="00EF1C1F"/>
    <w:rsid w:val="00EF2829"/>
    <w:rsid w:val="00EF745E"/>
    <w:rsid w:val="00F028E9"/>
    <w:rsid w:val="00F0504A"/>
    <w:rsid w:val="00F05CE3"/>
    <w:rsid w:val="00F0748F"/>
    <w:rsid w:val="00F11944"/>
    <w:rsid w:val="00F125C3"/>
    <w:rsid w:val="00F148EE"/>
    <w:rsid w:val="00F16509"/>
    <w:rsid w:val="00F22202"/>
    <w:rsid w:val="00F32749"/>
    <w:rsid w:val="00F35AD3"/>
    <w:rsid w:val="00F36D75"/>
    <w:rsid w:val="00F454CD"/>
    <w:rsid w:val="00F5189E"/>
    <w:rsid w:val="00F51DCB"/>
    <w:rsid w:val="00F56A6A"/>
    <w:rsid w:val="00F603DE"/>
    <w:rsid w:val="00F61A96"/>
    <w:rsid w:val="00F6514A"/>
    <w:rsid w:val="00F7387C"/>
    <w:rsid w:val="00F759D3"/>
    <w:rsid w:val="00F75A9A"/>
    <w:rsid w:val="00F762EB"/>
    <w:rsid w:val="00F771D1"/>
    <w:rsid w:val="00F82F55"/>
    <w:rsid w:val="00F83426"/>
    <w:rsid w:val="00F91423"/>
    <w:rsid w:val="00F93C67"/>
    <w:rsid w:val="00F94793"/>
    <w:rsid w:val="00FA060D"/>
    <w:rsid w:val="00FA1468"/>
    <w:rsid w:val="00FA163E"/>
    <w:rsid w:val="00FA194F"/>
    <w:rsid w:val="00FA7902"/>
    <w:rsid w:val="00FB247D"/>
    <w:rsid w:val="00FB6F2F"/>
    <w:rsid w:val="00FB7A5C"/>
    <w:rsid w:val="00FB7DBB"/>
    <w:rsid w:val="00FC0C67"/>
    <w:rsid w:val="00FD5F05"/>
    <w:rsid w:val="00FE0530"/>
    <w:rsid w:val="00FE79D7"/>
    <w:rsid w:val="00FE7ACF"/>
    <w:rsid w:val="00FF2E0C"/>
    <w:rsid w:val="00FF31FC"/>
    <w:rsid w:val="00FF44CB"/>
    <w:rsid w:val="00FF64CF"/>
    <w:rsid w:val="00FF7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3D"/>
    <w:pPr>
      <w:spacing w:after="200" w:line="276" w:lineRule="auto"/>
    </w:pPr>
    <w:rPr>
      <w:rFonts w:eastAsia="Times New Roman"/>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tle1">
    <w:name w:val="Title1"/>
    <w:basedOn w:val="Normal"/>
    <w:rsid w:val="00952539"/>
    <w:pPr>
      <w:spacing w:before="100" w:beforeAutospacing="1" w:after="100" w:afterAutospacing="1" w:line="240" w:lineRule="auto"/>
    </w:pPr>
    <w:rPr>
      <w:rFonts w:ascii="Times New Roman" w:eastAsia="Calibri" w:hAnsi="Times New Roman"/>
      <w:sz w:val="24"/>
      <w:szCs w:val="24"/>
    </w:rPr>
  </w:style>
  <w:style w:type="character" w:styleId="Hyperkobling">
    <w:name w:val="Hyperlink"/>
    <w:basedOn w:val="Standardskriftforavsnitt"/>
    <w:rsid w:val="00952539"/>
    <w:rPr>
      <w:rFonts w:cs="Times New Roman"/>
      <w:color w:val="0000FF"/>
      <w:u w:val="single"/>
    </w:rPr>
  </w:style>
  <w:style w:type="character" w:customStyle="1" w:styleId="apple-converted-space">
    <w:name w:val="apple-converted-space"/>
    <w:basedOn w:val="Standardskriftforavsnitt"/>
    <w:rsid w:val="00952539"/>
    <w:rPr>
      <w:rFonts w:cs="Times New Roman"/>
    </w:rPr>
  </w:style>
  <w:style w:type="paragraph" w:customStyle="1" w:styleId="desc">
    <w:name w:val="desc"/>
    <w:basedOn w:val="Normal"/>
    <w:rsid w:val="00952539"/>
    <w:pPr>
      <w:spacing w:before="100" w:beforeAutospacing="1" w:after="100" w:afterAutospacing="1" w:line="240" w:lineRule="auto"/>
    </w:pPr>
    <w:rPr>
      <w:rFonts w:ascii="Times New Roman" w:eastAsia="Calibri" w:hAnsi="Times New Roman"/>
      <w:sz w:val="24"/>
      <w:szCs w:val="24"/>
    </w:rPr>
  </w:style>
  <w:style w:type="paragraph" w:customStyle="1" w:styleId="details">
    <w:name w:val="details"/>
    <w:basedOn w:val="Normal"/>
    <w:rsid w:val="00952539"/>
    <w:pPr>
      <w:spacing w:before="100" w:beforeAutospacing="1" w:after="100" w:afterAutospacing="1" w:line="240" w:lineRule="auto"/>
    </w:pPr>
    <w:rPr>
      <w:rFonts w:ascii="Times New Roman" w:eastAsia="Calibri" w:hAnsi="Times New Roman"/>
      <w:sz w:val="24"/>
      <w:szCs w:val="24"/>
    </w:rPr>
  </w:style>
  <w:style w:type="character" w:customStyle="1" w:styleId="jrnl">
    <w:name w:val="jrnl"/>
    <w:basedOn w:val="Standardskriftforavsnitt"/>
    <w:rsid w:val="00952539"/>
    <w:rPr>
      <w:rFonts w:cs="Times New Roman"/>
    </w:rPr>
  </w:style>
  <w:style w:type="table" w:styleId="Tabellrutenett">
    <w:name w:val="Table Grid"/>
    <w:basedOn w:val="Vanligtabell"/>
    <w:rsid w:val="009869B8"/>
    <w:rPr>
      <w:rFonts w:eastAsia="Times New Roman"/>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qFormat/>
    <w:rsid w:val="007324C1"/>
    <w:pPr>
      <w:ind w:left="720"/>
      <w:contextualSpacing/>
    </w:pPr>
  </w:style>
  <w:style w:type="paragraph" w:styleId="Bobletekst">
    <w:name w:val="Balloon Text"/>
    <w:basedOn w:val="Normal"/>
    <w:link w:val="BobletekstTegn"/>
    <w:semiHidden/>
    <w:rsid w:val="00650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locked/>
    <w:rsid w:val="00650093"/>
    <w:rPr>
      <w:rFonts w:ascii="Tahoma" w:hAnsi="Tahoma" w:cs="Tahoma"/>
      <w:sz w:val="16"/>
      <w:szCs w:val="16"/>
    </w:rPr>
  </w:style>
  <w:style w:type="character" w:customStyle="1" w:styleId="apple-style-span">
    <w:name w:val="apple-style-span"/>
    <w:basedOn w:val="Standardskriftforavsnitt"/>
    <w:rsid w:val="00B41CF1"/>
    <w:rPr>
      <w:rFonts w:cs="Times New Roman"/>
    </w:rPr>
  </w:style>
  <w:style w:type="character" w:styleId="Utheving">
    <w:name w:val="Emphasis"/>
    <w:basedOn w:val="Standardskriftforavsnitt"/>
    <w:qFormat/>
    <w:rsid w:val="00091107"/>
    <w:rPr>
      <w:rFonts w:cs="Times New Roman"/>
      <w:i/>
      <w:iCs/>
    </w:rPr>
  </w:style>
  <w:style w:type="paragraph" w:styleId="Topptekst">
    <w:name w:val="header"/>
    <w:basedOn w:val="Normal"/>
    <w:link w:val="TopptekstTegn"/>
    <w:uiPriority w:val="99"/>
    <w:rsid w:val="002E6A9C"/>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locked/>
    <w:rsid w:val="002E6A9C"/>
    <w:rPr>
      <w:rFonts w:cs="Times New Roman"/>
    </w:rPr>
  </w:style>
  <w:style w:type="paragraph" w:styleId="Bunntekst">
    <w:name w:val="footer"/>
    <w:basedOn w:val="Normal"/>
    <w:link w:val="BunntekstTegn"/>
    <w:uiPriority w:val="99"/>
    <w:rsid w:val="002E6A9C"/>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locked/>
    <w:rsid w:val="002E6A9C"/>
    <w:rPr>
      <w:rFonts w:cs="Times New Roman"/>
    </w:rPr>
  </w:style>
  <w:style w:type="paragraph" w:styleId="NormalWeb">
    <w:name w:val="Normal (Web)"/>
    <w:basedOn w:val="Normal"/>
    <w:uiPriority w:val="99"/>
    <w:rsid w:val="007246A0"/>
    <w:pPr>
      <w:spacing w:before="100" w:beforeAutospacing="1" w:after="100" w:afterAutospacing="1" w:line="240" w:lineRule="auto"/>
    </w:pPr>
    <w:rPr>
      <w:rFonts w:ascii="Times New Roman" w:eastAsia="Calibri" w:hAnsi="Times New Roman"/>
      <w:sz w:val="24"/>
      <w:szCs w:val="24"/>
    </w:rPr>
  </w:style>
  <w:style w:type="paragraph" w:styleId="Bildetekst">
    <w:name w:val="caption"/>
    <w:basedOn w:val="Normal"/>
    <w:next w:val="Normal"/>
    <w:qFormat/>
    <w:rsid w:val="0085425C"/>
    <w:rPr>
      <w:rFonts w:eastAsia="Calibri"/>
      <w:b/>
      <w:bCs/>
      <w:sz w:val="20"/>
      <w:szCs w:val="20"/>
      <w:lang w:val="nl-NL"/>
    </w:rPr>
  </w:style>
  <w:style w:type="character" w:styleId="Sidetall">
    <w:name w:val="page number"/>
    <w:basedOn w:val="Standardskriftforavsnitt"/>
    <w:rsid w:val="00AF02F8"/>
    <w:rPr>
      <w:rFonts w:cs="Times New Roman"/>
    </w:rPr>
  </w:style>
  <w:style w:type="character" w:styleId="Merknadsreferanse">
    <w:name w:val="annotation reference"/>
    <w:basedOn w:val="Standardskriftforavsnitt"/>
    <w:semiHidden/>
    <w:rsid w:val="00E92332"/>
    <w:rPr>
      <w:sz w:val="16"/>
      <w:szCs w:val="16"/>
    </w:rPr>
  </w:style>
  <w:style w:type="paragraph" w:styleId="Merknadstekst">
    <w:name w:val="annotation text"/>
    <w:basedOn w:val="Normal"/>
    <w:semiHidden/>
    <w:rsid w:val="00E92332"/>
    <w:rPr>
      <w:sz w:val="20"/>
      <w:szCs w:val="20"/>
    </w:rPr>
  </w:style>
  <w:style w:type="paragraph" w:styleId="Kommentaremne">
    <w:name w:val="annotation subject"/>
    <w:basedOn w:val="Merknadstekst"/>
    <w:next w:val="Merknadstekst"/>
    <w:semiHidden/>
    <w:rsid w:val="00E923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3D"/>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952539"/>
    <w:pPr>
      <w:spacing w:before="100" w:beforeAutospacing="1" w:after="100" w:afterAutospacing="1" w:line="240" w:lineRule="auto"/>
    </w:pPr>
    <w:rPr>
      <w:rFonts w:ascii="Times New Roman" w:eastAsia="Calibri" w:hAnsi="Times New Roman"/>
      <w:sz w:val="24"/>
      <w:szCs w:val="24"/>
    </w:rPr>
  </w:style>
  <w:style w:type="character" w:styleId="Hyperlink">
    <w:name w:val="Hyperlink"/>
    <w:basedOn w:val="DefaultParagraphFont"/>
    <w:rsid w:val="00952539"/>
    <w:rPr>
      <w:rFonts w:cs="Times New Roman"/>
      <w:color w:val="0000FF"/>
      <w:u w:val="single"/>
    </w:rPr>
  </w:style>
  <w:style w:type="character" w:customStyle="1" w:styleId="apple-converted-space">
    <w:name w:val="apple-converted-space"/>
    <w:basedOn w:val="DefaultParagraphFont"/>
    <w:rsid w:val="00952539"/>
    <w:rPr>
      <w:rFonts w:cs="Times New Roman"/>
    </w:rPr>
  </w:style>
  <w:style w:type="paragraph" w:customStyle="1" w:styleId="desc">
    <w:name w:val="desc"/>
    <w:basedOn w:val="Normal"/>
    <w:rsid w:val="00952539"/>
    <w:pPr>
      <w:spacing w:before="100" w:beforeAutospacing="1" w:after="100" w:afterAutospacing="1" w:line="240" w:lineRule="auto"/>
    </w:pPr>
    <w:rPr>
      <w:rFonts w:ascii="Times New Roman" w:eastAsia="Calibri" w:hAnsi="Times New Roman"/>
      <w:sz w:val="24"/>
      <w:szCs w:val="24"/>
    </w:rPr>
  </w:style>
  <w:style w:type="paragraph" w:customStyle="1" w:styleId="details">
    <w:name w:val="details"/>
    <w:basedOn w:val="Normal"/>
    <w:rsid w:val="00952539"/>
    <w:pPr>
      <w:spacing w:before="100" w:beforeAutospacing="1" w:after="100" w:afterAutospacing="1" w:line="240" w:lineRule="auto"/>
    </w:pPr>
    <w:rPr>
      <w:rFonts w:ascii="Times New Roman" w:eastAsia="Calibri" w:hAnsi="Times New Roman"/>
      <w:sz w:val="24"/>
      <w:szCs w:val="24"/>
    </w:rPr>
  </w:style>
  <w:style w:type="character" w:customStyle="1" w:styleId="jrnl">
    <w:name w:val="jrnl"/>
    <w:basedOn w:val="DefaultParagraphFont"/>
    <w:rsid w:val="00952539"/>
    <w:rPr>
      <w:rFonts w:cs="Times New Roman"/>
    </w:rPr>
  </w:style>
  <w:style w:type="table" w:styleId="TableGrid">
    <w:name w:val="Table Grid"/>
    <w:basedOn w:val="TableNormal"/>
    <w:rsid w:val="009869B8"/>
    <w:rPr>
      <w:rFonts w:eastAsia="Times New Roman"/>
      <w:lang w:val="da-DK"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324C1"/>
    <w:pPr>
      <w:ind w:left="720"/>
      <w:contextualSpacing/>
    </w:pPr>
  </w:style>
  <w:style w:type="paragraph" w:styleId="BalloonText">
    <w:name w:val="Balloon Text"/>
    <w:basedOn w:val="Normal"/>
    <w:link w:val="BalloonTextChar"/>
    <w:semiHidden/>
    <w:rsid w:val="00650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50093"/>
    <w:rPr>
      <w:rFonts w:ascii="Tahoma" w:hAnsi="Tahoma" w:cs="Tahoma"/>
      <w:sz w:val="16"/>
      <w:szCs w:val="16"/>
    </w:rPr>
  </w:style>
  <w:style w:type="character" w:customStyle="1" w:styleId="apple-style-span">
    <w:name w:val="apple-style-span"/>
    <w:basedOn w:val="DefaultParagraphFont"/>
    <w:rsid w:val="00B41CF1"/>
    <w:rPr>
      <w:rFonts w:cs="Times New Roman"/>
    </w:rPr>
  </w:style>
  <w:style w:type="character" w:styleId="Emphasis">
    <w:name w:val="Emphasis"/>
    <w:basedOn w:val="DefaultParagraphFont"/>
    <w:qFormat/>
    <w:rsid w:val="00091107"/>
    <w:rPr>
      <w:rFonts w:cs="Times New Roman"/>
      <w:i/>
      <w:iCs/>
    </w:rPr>
  </w:style>
  <w:style w:type="paragraph" w:styleId="Header">
    <w:name w:val="header"/>
    <w:basedOn w:val="Normal"/>
    <w:link w:val="HeaderChar"/>
    <w:uiPriority w:val="99"/>
    <w:rsid w:val="002E6A9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E6A9C"/>
    <w:rPr>
      <w:rFonts w:cs="Times New Roman"/>
    </w:rPr>
  </w:style>
  <w:style w:type="paragraph" w:styleId="Footer">
    <w:name w:val="footer"/>
    <w:basedOn w:val="Normal"/>
    <w:link w:val="FooterChar"/>
    <w:uiPriority w:val="99"/>
    <w:rsid w:val="002E6A9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E6A9C"/>
    <w:rPr>
      <w:rFonts w:cs="Times New Roman"/>
    </w:rPr>
  </w:style>
  <w:style w:type="paragraph" w:styleId="NormalWeb">
    <w:name w:val="Normal (Web)"/>
    <w:basedOn w:val="Normal"/>
    <w:uiPriority w:val="99"/>
    <w:rsid w:val="007246A0"/>
    <w:pPr>
      <w:spacing w:before="100" w:beforeAutospacing="1" w:after="100" w:afterAutospacing="1" w:line="240" w:lineRule="auto"/>
    </w:pPr>
    <w:rPr>
      <w:rFonts w:ascii="Times New Roman" w:eastAsia="Calibri" w:hAnsi="Times New Roman"/>
      <w:sz w:val="24"/>
      <w:szCs w:val="24"/>
    </w:rPr>
  </w:style>
  <w:style w:type="paragraph" w:styleId="Caption">
    <w:name w:val="caption"/>
    <w:basedOn w:val="Normal"/>
    <w:next w:val="Normal"/>
    <w:qFormat/>
    <w:rsid w:val="0085425C"/>
    <w:rPr>
      <w:rFonts w:eastAsia="Calibri"/>
      <w:b/>
      <w:bCs/>
      <w:sz w:val="20"/>
      <w:szCs w:val="20"/>
      <w:lang w:val="nl-NL"/>
    </w:rPr>
  </w:style>
  <w:style w:type="character" w:styleId="PageNumber">
    <w:name w:val="page number"/>
    <w:basedOn w:val="DefaultParagraphFont"/>
    <w:rsid w:val="00AF02F8"/>
    <w:rPr>
      <w:rFonts w:cs="Times New Roman"/>
    </w:rPr>
  </w:style>
  <w:style w:type="character" w:styleId="CommentReference">
    <w:name w:val="annotation reference"/>
    <w:basedOn w:val="DefaultParagraphFont"/>
    <w:semiHidden/>
    <w:rsid w:val="00E92332"/>
    <w:rPr>
      <w:sz w:val="16"/>
      <w:szCs w:val="16"/>
    </w:rPr>
  </w:style>
  <w:style w:type="paragraph" w:styleId="CommentText">
    <w:name w:val="annotation text"/>
    <w:basedOn w:val="Normal"/>
    <w:semiHidden/>
    <w:rsid w:val="00E92332"/>
    <w:rPr>
      <w:sz w:val="20"/>
      <w:szCs w:val="20"/>
    </w:rPr>
  </w:style>
  <w:style w:type="paragraph" w:styleId="CommentSubject">
    <w:name w:val="annotation subject"/>
    <w:basedOn w:val="CommentText"/>
    <w:next w:val="CommentText"/>
    <w:semiHidden/>
    <w:rsid w:val="00E92332"/>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34"/>
          <w:marBottom w:val="34"/>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27361">
      <w:bodyDiv w:val="1"/>
      <w:marLeft w:val="0"/>
      <w:marRight w:val="0"/>
      <w:marTop w:val="0"/>
      <w:marBottom w:val="0"/>
      <w:divBdr>
        <w:top w:val="none" w:sz="0" w:space="0" w:color="auto"/>
        <w:left w:val="none" w:sz="0" w:space="0" w:color="auto"/>
        <w:bottom w:val="none" w:sz="0" w:space="0" w:color="auto"/>
        <w:right w:val="none" w:sz="0" w:space="0" w:color="auto"/>
      </w:divBdr>
    </w:div>
    <w:div w:id="167403342">
      <w:bodyDiv w:val="1"/>
      <w:marLeft w:val="0"/>
      <w:marRight w:val="0"/>
      <w:marTop w:val="0"/>
      <w:marBottom w:val="0"/>
      <w:divBdr>
        <w:top w:val="none" w:sz="0" w:space="0" w:color="auto"/>
        <w:left w:val="none" w:sz="0" w:space="0" w:color="auto"/>
        <w:bottom w:val="none" w:sz="0" w:space="0" w:color="auto"/>
        <w:right w:val="none" w:sz="0" w:space="0" w:color="auto"/>
      </w:divBdr>
    </w:div>
    <w:div w:id="534729413">
      <w:bodyDiv w:val="1"/>
      <w:marLeft w:val="0"/>
      <w:marRight w:val="0"/>
      <w:marTop w:val="0"/>
      <w:marBottom w:val="0"/>
      <w:divBdr>
        <w:top w:val="none" w:sz="0" w:space="0" w:color="auto"/>
        <w:left w:val="none" w:sz="0" w:space="0" w:color="auto"/>
        <w:bottom w:val="none" w:sz="0" w:space="0" w:color="auto"/>
        <w:right w:val="none" w:sz="0" w:space="0" w:color="auto"/>
      </w:divBdr>
    </w:div>
    <w:div w:id="623779048">
      <w:bodyDiv w:val="1"/>
      <w:marLeft w:val="0"/>
      <w:marRight w:val="0"/>
      <w:marTop w:val="0"/>
      <w:marBottom w:val="0"/>
      <w:divBdr>
        <w:top w:val="none" w:sz="0" w:space="0" w:color="auto"/>
        <w:left w:val="none" w:sz="0" w:space="0" w:color="auto"/>
        <w:bottom w:val="none" w:sz="0" w:space="0" w:color="auto"/>
        <w:right w:val="none" w:sz="0" w:space="0" w:color="auto"/>
      </w:divBdr>
    </w:div>
    <w:div w:id="635642523">
      <w:bodyDiv w:val="1"/>
      <w:marLeft w:val="0"/>
      <w:marRight w:val="0"/>
      <w:marTop w:val="0"/>
      <w:marBottom w:val="0"/>
      <w:divBdr>
        <w:top w:val="none" w:sz="0" w:space="0" w:color="auto"/>
        <w:left w:val="none" w:sz="0" w:space="0" w:color="auto"/>
        <w:bottom w:val="none" w:sz="0" w:space="0" w:color="auto"/>
        <w:right w:val="none" w:sz="0" w:space="0" w:color="auto"/>
      </w:divBdr>
    </w:div>
    <w:div w:id="722216317">
      <w:bodyDiv w:val="1"/>
      <w:marLeft w:val="0"/>
      <w:marRight w:val="0"/>
      <w:marTop w:val="0"/>
      <w:marBottom w:val="0"/>
      <w:divBdr>
        <w:top w:val="none" w:sz="0" w:space="0" w:color="auto"/>
        <w:left w:val="none" w:sz="0" w:space="0" w:color="auto"/>
        <w:bottom w:val="none" w:sz="0" w:space="0" w:color="auto"/>
        <w:right w:val="none" w:sz="0" w:space="0" w:color="auto"/>
      </w:divBdr>
    </w:div>
    <w:div w:id="1537540988">
      <w:bodyDiv w:val="1"/>
      <w:marLeft w:val="0"/>
      <w:marRight w:val="0"/>
      <w:marTop w:val="0"/>
      <w:marBottom w:val="0"/>
      <w:divBdr>
        <w:top w:val="none" w:sz="0" w:space="0" w:color="auto"/>
        <w:left w:val="none" w:sz="0" w:space="0" w:color="auto"/>
        <w:bottom w:val="none" w:sz="0" w:space="0" w:color="auto"/>
        <w:right w:val="none" w:sz="0" w:space="0" w:color="auto"/>
      </w:divBdr>
      <w:divsChild>
        <w:div w:id="532108763">
          <w:marLeft w:val="0"/>
          <w:marRight w:val="0"/>
          <w:marTop w:val="0"/>
          <w:marBottom w:val="0"/>
          <w:divBdr>
            <w:top w:val="none" w:sz="0" w:space="0" w:color="auto"/>
            <w:left w:val="none" w:sz="0" w:space="0" w:color="auto"/>
            <w:bottom w:val="none" w:sz="0" w:space="0" w:color="auto"/>
            <w:right w:val="none" w:sz="0" w:space="0" w:color="auto"/>
          </w:divBdr>
        </w:div>
      </w:divsChild>
    </w:div>
    <w:div w:id="1994790515">
      <w:bodyDiv w:val="1"/>
      <w:marLeft w:val="0"/>
      <w:marRight w:val="0"/>
      <w:marTop w:val="0"/>
      <w:marBottom w:val="0"/>
      <w:divBdr>
        <w:top w:val="none" w:sz="0" w:space="0" w:color="auto"/>
        <w:left w:val="none" w:sz="0" w:space="0" w:color="auto"/>
        <w:bottom w:val="none" w:sz="0" w:space="0" w:color="auto"/>
        <w:right w:val="none" w:sz="0" w:space="0" w:color="auto"/>
      </w:divBdr>
      <w:divsChild>
        <w:div w:id="184289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8728</Words>
  <Characters>52752</Characters>
  <Application>Microsoft Office Word</Application>
  <DocSecurity>12</DocSecurity>
  <Lines>439</Lines>
  <Paragraphs>122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Redefinition of Hypertriglyceridemic States:</vt:lpstr>
      <vt:lpstr>Redefinition of Hypertriglyceridemic States:</vt:lpstr>
      <vt:lpstr>Redefinition of Hypertriglyceridemic States: </vt:lpstr>
    </vt:vector>
  </TitlesOfParts>
  <Company>University of Western Ontario</Company>
  <LinksUpToDate>false</LinksUpToDate>
  <CharactersWithSpaces>61358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Redefinition of Hypertriglyceridemic States:</dc:title>
  <dc:creator>Chris Johansen</dc:creator>
  <cp:lastModifiedBy>DARJOH</cp:lastModifiedBy>
  <cp:revision>2</cp:revision>
  <cp:lastPrinted>2015-05-27T06:11:00Z</cp:lastPrinted>
  <dcterms:created xsi:type="dcterms:W3CDTF">2015-05-27T06:45:00Z</dcterms:created>
  <dcterms:modified xsi:type="dcterms:W3CDTF">2015-05-27T06:45:00Z</dcterms:modified>
</cp:coreProperties>
</file>